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86C5C" w14:textId="450DE2C1" w:rsidR="006270B3" w:rsidRDefault="003B29EA" w:rsidP="00BA2412">
      <w:pPr>
        <w:pStyle w:val="01Title"/>
      </w:pPr>
      <w:r>
        <w:t xml:space="preserve">Hybrid </w:t>
      </w:r>
      <w:r w:rsidR="00721AA7" w:rsidRPr="00721AA7">
        <w:t xml:space="preserve">Integration of Quantum Cascade Lasers with Germanium on Silicon waveguides for </w:t>
      </w:r>
      <w:r w:rsidR="00615B41">
        <w:t>M</w:t>
      </w:r>
      <w:r w:rsidR="00721AA7" w:rsidRPr="00721AA7">
        <w:t>id-</w:t>
      </w:r>
      <w:r w:rsidR="00615B41">
        <w:t>I</w:t>
      </w:r>
      <w:r w:rsidR="00721AA7" w:rsidRPr="00721AA7">
        <w:t xml:space="preserve">nfrared </w:t>
      </w:r>
      <w:r w:rsidR="00615B41">
        <w:t>S</w:t>
      </w:r>
      <w:r w:rsidR="00721AA7" w:rsidRPr="00721AA7">
        <w:t xml:space="preserve">ensing </w:t>
      </w:r>
      <w:r w:rsidR="00615B41">
        <w:t>A</w:t>
      </w:r>
      <w:r w:rsidR="00721AA7" w:rsidRPr="00721AA7">
        <w:t>pplications</w:t>
      </w:r>
    </w:p>
    <w:p w14:paraId="43A1E2EF" w14:textId="045EEC38" w:rsidR="00497360" w:rsidRDefault="007D6490" w:rsidP="00974BEF">
      <w:pPr>
        <w:pStyle w:val="02Author"/>
        <w:rPr>
          <w:vertAlign w:val="superscript"/>
        </w:rPr>
      </w:pPr>
      <w:r w:rsidRPr="007D6490">
        <w:t>C</w:t>
      </w:r>
      <w:r w:rsidR="00EA52FA">
        <w:t xml:space="preserve">olin </w:t>
      </w:r>
      <w:r w:rsidRPr="007D6490">
        <w:t>J</w:t>
      </w:r>
      <w:r w:rsidR="00EA52FA">
        <w:t>.</w:t>
      </w:r>
      <w:r w:rsidRPr="007D6490">
        <w:t xml:space="preserve"> Mitchell</w:t>
      </w:r>
      <w:r>
        <w:t>,</w:t>
      </w:r>
      <w:r w:rsidRPr="007D6490">
        <w:rPr>
          <w:vertAlign w:val="superscript"/>
        </w:rPr>
        <w:t>1,*</w:t>
      </w:r>
      <w:r w:rsidRPr="007D6490">
        <w:t xml:space="preserve"> Longqi</w:t>
      </w:r>
      <w:r w:rsidR="00EA52FA">
        <w:t xml:space="preserve"> Zhou</w:t>
      </w:r>
      <w:r w:rsidR="00921F86" w:rsidRPr="007D6490">
        <w:t>,</w:t>
      </w:r>
      <w:r w:rsidR="00921F86" w:rsidRPr="00965D71">
        <w:rPr>
          <w:vertAlign w:val="superscript"/>
        </w:rPr>
        <w:t>2</w:t>
      </w:r>
      <w:r w:rsidRPr="007D6490">
        <w:t xml:space="preserve"> K</w:t>
      </w:r>
      <w:r w:rsidR="00EA52FA">
        <w:t>e</w:t>
      </w:r>
      <w:r w:rsidRPr="007D6490">
        <w:t xml:space="preserve"> Li</w:t>
      </w:r>
      <w:r>
        <w:t>,</w:t>
      </w:r>
      <w:r w:rsidRPr="007D6490">
        <w:rPr>
          <w:vertAlign w:val="superscript"/>
        </w:rPr>
        <w:t>1</w:t>
      </w:r>
      <w:r w:rsidRPr="007D6490">
        <w:t xml:space="preserve"> Daniel</w:t>
      </w:r>
      <w:r w:rsidR="00CA4E8F">
        <w:t xml:space="preserve"> Adeyemi</w:t>
      </w:r>
      <w:r w:rsidRPr="007D6490">
        <w:t>, Ahmed</w:t>
      </w:r>
      <w:r w:rsidR="00CA4E8F">
        <w:t xml:space="preserve"> Osman</w:t>
      </w:r>
      <w:r w:rsidRPr="007D6490">
        <w:t>,</w:t>
      </w:r>
      <w:r w:rsidRPr="007D6490">
        <w:rPr>
          <w:vertAlign w:val="superscript"/>
        </w:rPr>
        <w:t>1</w:t>
      </w:r>
      <w:r w:rsidRPr="007D6490">
        <w:t xml:space="preserve"> Milos</w:t>
      </w:r>
      <w:r w:rsidR="00EA52FA">
        <w:t xml:space="preserve"> Nedeljkovic</w:t>
      </w:r>
      <w:r w:rsidRPr="007D6490">
        <w:t>,</w:t>
      </w:r>
      <w:r w:rsidRPr="007D6490">
        <w:rPr>
          <w:vertAlign w:val="superscript"/>
        </w:rPr>
        <w:t>1</w:t>
      </w:r>
      <w:r w:rsidRPr="007D6490">
        <w:t xml:space="preserve"> Glenn</w:t>
      </w:r>
      <w:r w:rsidR="00EA52FA">
        <w:t xml:space="preserve"> Churchill</w:t>
      </w:r>
      <w:r w:rsidRPr="007D6490">
        <w:t>,</w:t>
      </w:r>
      <w:r w:rsidRPr="007D6490">
        <w:rPr>
          <w:vertAlign w:val="superscript"/>
        </w:rPr>
        <w:t>1</w:t>
      </w:r>
      <w:r w:rsidRPr="007D6490">
        <w:t xml:space="preserve"> </w:t>
      </w:r>
      <w:r w:rsidR="00EA52FA">
        <w:t xml:space="preserve">James C. </w:t>
      </w:r>
      <w:r w:rsidRPr="007D6490">
        <w:t>Gates,</w:t>
      </w:r>
      <w:r w:rsidRPr="007D6490">
        <w:rPr>
          <w:vertAlign w:val="superscript"/>
        </w:rPr>
        <w:t>1</w:t>
      </w:r>
      <w:r w:rsidRPr="007D6490">
        <w:t xml:space="preserve"> </w:t>
      </w:r>
      <w:r w:rsidR="00615B41">
        <w:t>Graham</w:t>
      </w:r>
      <w:r w:rsidR="00EA52FA">
        <w:t xml:space="preserve"> T. Reed</w:t>
      </w:r>
      <w:r w:rsidR="00615B41" w:rsidRPr="00875F2C">
        <w:rPr>
          <w:vertAlign w:val="superscript"/>
        </w:rPr>
        <w:t>1</w:t>
      </w:r>
      <w:r w:rsidR="00615B41">
        <w:t xml:space="preserve">, </w:t>
      </w:r>
      <w:r w:rsidRPr="007D6490">
        <w:t>Kris</w:t>
      </w:r>
      <w:r w:rsidR="00EA52FA">
        <w:t>tian M. Groom</w:t>
      </w:r>
      <w:r w:rsidRPr="007D6490">
        <w:t>,</w:t>
      </w:r>
      <w:r>
        <w:rPr>
          <w:vertAlign w:val="superscript"/>
        </w:rPr>
        <w:t>2</w:t>
      </w:r>
      <w:r w:rsidRPr="007D6490">
        <w:t xml:space="preserve"> Jon</w:t>
      </w:r>
      <w:r w:rsidR="00EA52FA">
        <w:t xml:space="preserve"> Heffernan</w:t>
      </w:r>
      <w:r w:rsidRPr="007D6490">
        <w:t>,</w:t>
      </w:r>
      <w:r>
        <w:rPr>
          <w:vertAlign w:val="superscript"/>
        </w:rPr>
        <w:t>2</w:t>
      </w:r>
      <w:r w:rsidRPr="007D6490">
        <w:t xml:space="preserve"> Goran</w:t>
      </w:r>
      <w:r w:rsidR="00EA52FA">
        <w:t xml:space="preserve"> Mashanovich</w:t>
      </w:r>
      <w:r w:rsidRPr="007D6490">
        <w:rPr>
          <w:vertAlign w:val="superscript"/>
        </w:rPr>
        <w:t>1</w:t>
      </w:r>
    </w:p>
    <w:p w14:paraId="2D13C980" w14:textId="3B37CA50" w:rsidR="007D6490" w:rsidRDefault="00497360" w:rsidP="00497360">
      <w:pPr>
        <w:pStyle w:val="03AuthorAffiliation"/>
      </w:pPr>
      <w:r>
        <w:rPr>
          <w:vertAlign w:val="superscript"/>
        </w:rPr>
        <w:t>1</w:t>
      </w:r>
      <w:r w:rsidR="00EA52FA" w:rsidRPr="00EA52FA">
        <w:t xml:space="preserve"> Optoelectronics Research Centre, University of Southampton, University Road, Southampton, Hampshire SO17 1BJ, UK</w:t>
      </w:r>
      <w:r w:rsidR="007D6490" w:rsidRPr="007D6490">
        <w:t xml:space="preserve"> </w:t>
      </w:r>
    </w:p>
    <w:p w14:paraId="6F38941F" w14:textId="5BAF1FA3" w:rsidR="00497360" w:rsidRDefault="00497360" w:rsidP="00497360">
      <w:pPr>
        <w:pStyle w:val="03AuthorAffiliation"/>
      </w:pPr>
      <w:r>
        <w:rPr>
          <w:vertAlign w:val="superscript"/>
        </w:rPr>
        <w:t>2</w:t>
      </w:r>
      <w:r w:rsidR="00EA52FA" w:rsidRPr="00EA52FA">
        <w:t xml:space="preserve"> Department of Electronic and Electrical Engineering, Sir Frederick Mappin Building, University of Sheffield, Mappin Street, Sheffield, S1 3JD, UK</w:t>
      </w:r>
    </w:p>
    <w:p w14:paraId="0EF8C28E" w14:textId="5663669D" w:rsidR="00497360" w:rsidRDefault="00497360" w:rsidP="00497360">
      <w:pPr>
        <w:pStyle w:val="04Email"/>
      </w:pPr>
      <w:r w:rsidRPr="00497360">
        <w:t>*</w:t>
      </w:r>
      <w:r w:rsidR="007D6490">
        <w:t>c.j.mitchell@soton.ac.uk</w:t>
      </w:r>
    </w:p>
    <w:p w14:paraId="2B167740" w14:textId="44DB8253" w:rsidR="00497360" w:rsidRDefault="00497360" w:rsidP="00806795">
      <w:pPr>
        <w:pStyle w:val="06AbstractBody"/>
      </w:pPr>
      <w:r w:rsidRPr="00827636">
        <w:rPr>
          <w:rFonts w:cs="Times New Roman"/>
          <w:b/>
        </w:rPr>
        <w:t>Abstract:</w:t>
      </w:r>
      <w:r w:rsidRPr="00437F52">
        <w:t xml:space="preserve"> </w:t>
      </w:r>
      <w:r w:rsidR="004965C6">
        <w:t xml:space="preserve">The mid-infrared spectral region (2-20 </w:t>
      </w:r>
      <w:r w:rsidR="004965C6">
        <w:rPr>
          <w:rFonts w:cs="Times New Roman"/>
        </w:rPr>
        <w:t>µ</w:t>
      </w:r>
      <w:r w:rsidR="004965C6">
        <w:t xml:space="preserve">m) contains ‘fingerprint’ molecular absorptions, which are used for environmental, medical and security applications. </w:t>
      </w:r>
      <w:r w:rsidR="00761D74">
        <w:t xml:space="preserve">The growing importance of </w:t>
      </w:r>
      <w:r w:rsidR="004965C6">
        <w:t>this</w:t>
      </w:r>
      <w:r w:rsidR="00761D74">
        <w:t xml:space="preserve"> region for silicon photonics is reliant upon the integration of sources and detectors</w:t>
      </w:r>
      <w:r w:rsidR="002B1B31">
        <w:t>,</w:t>
      </w:r>
      <w:r w:rsidR="00761D74">
        <w:t xml:space="preserve"> </w:t>
      </w:r>
      <w:r w:rsidR="004965C6">
        <w:t xml:space="preserve">operating at appropriate wavelengths </w:t>
      </w:r>
      <w:r w:rsidR="00761D74">
        <w:t>with a mid-infrared sensing platform</w:t>
      </w:r>
      <w:r w:rsidR="004965C6">
        <w:t>.</w:t>
      </w:r>
      <w:r w:rsidR="00761D74">
        <w:t xml:space="preserve"> </w:t>
      </w:r>
      <w:r w:rsidR="004965C6">
        <w:t>C</w:t>
      </w:r>
      <w:r w:rsidR="00761D74">
        <w:t xml:space="preserve">ommercial devices </w:t>
      </w:r>
      <w:r w:rsidR="004965C6">
        <w:t>need to be</w:t>
      </w:r>
      <w:r w:rsidR="00761D74">
        <w:t xml:space="preserve"> low cost, low power and have a small footprint</w:t>
      </w:r>
      <w:r w:rsidR="004965C6">
        <w:t xml:space="preserve"> for widespread use</w:t>
      </w:r>
      <w:r w:rsidR="0004068C">
        <w:t xml:space="preserve"> </w:t>
      </w:r>
      <w:r w:rsidR="00761D74">
        <w:t>outside of the laboratory</w:t>
      </w:r>
      <w:r w:rsidR="004A4C50">
        <w:t xml:space="preserve"> and </w:t>
      </w:r>
      <w:r w:rsidR="004965C6">
        <w:t>are required to be</w:t>
      </w:r>
      <w:r w:rsidR="0004068C">
        <w:t xml:space="preserve"> m</w:t>
      </w:r>
      <w:r w:rsidR="00761D74">
        <w:t xml:space="preserve">echanically </w:t>
      </w:r>
      <w:r w:rsidR="0004068C">
        <w:t xml:space="preserve">robust </w:t>
      </w:r>
      <w:r w:rsidR="004965C6">
        <w:t>and preferably manufactured within the existing silicon fabrication infrastructure</w:t>
      </w:r>
      <w:r w:rsidR="0004068C">
        <w:t>. Such devices</w:t>
      </w:r>
      <w:r w:rsidR="00761D74">
        <w:t xml:space="preserve"> </w:t>
      </w:r>
      <w:r w:rsidR="004A4C50">
        <w:t xml:space="preserve">have </w:t>
      </w:r>
      <w:r w:rsidR="00761D74">
        <w:t xml:space="preserve">been demonstrated for the </w:t>
      </w:r>
      <w:r w:rsidR="00E2304D">
        <w:t>near-</w:t>
      </w:r>
      <w:r w:rsidR="00761D74">
        <w:t xml:space="preserve">infrared region, </w:t>
      </w:r>
      <w:r w:rsidR="0004068C">
        <w:t>particularly at communication wavelengths, but much less work has been published in the mid-infrared. Here we report</w:t>
      </w:r>
      <w:r w:rsidR="004965C6">
        <w:t xml:space="preserve"> the</w:t>
      </w:r>
      <w:r w:rsidR="0004068C">
        <w:t xml:space="preserve"> first </w:t>
      </w:r>
      <w:r w:rsidR="002B1B31">
        <w:t xml:space="preserve">coupling data for </w:t>
      </w:r>
      <w:r w:rsidR="0004068C">
        <w:t>hybrid flip-chip integration of</w:t>
      </w:r>
      <w:r w:rsidR="002B1B31">
        <w:t xml:space="preserve"> a</w:t>
      </w:r>
      <w:r w:rsidR="0004068C">
        <w:t xml:space="preserve"> fully</w:t>
      </w:r>
      <w:r w:rsidR="00E2304D">
        <w:t xml:space="preserve"> </w:t>
      </w:r>
      <w:r w:rsidR="002B1B31">
        <w:t>fabricated</w:t>
      </w:r>
      <w:r w:rsidR="0004068C">
        <w:t xml:space="preserve"> </w:t>
      </w:r>
      <w:r w:rsidR="002B1B31">
        <w:t>quantum cascade laser bar</w:t>
      </w:r>
      <w:r w:rsidR="0004068C">
        <w:t xml:space="preserve"> on</w:t>
      </w:r>
      <w:r w:rsidR="002B1B31">
        <w:t xml:space="preserve"> </w:t>
      </w:r>
      <w:r w:rsidR="0004068C">
        <w:t xml:space="preserve">a </w:t>
      </w:r>
      <w:r w:rsidR="002B1B31">
        <w:t xml:space="preserve">silicon photonics platform, in this case </w:t>
      </w:r>
      <w:r w:rsidR="0004068C">
        <w:t xml:space="preserve">germanium-on-silicon. The passive alignment utilized here alongside CMOS compatible process flows will enable the development of fully integrated sensing chips across the mid-infrared spectrum with </w:t>
      </w:r>
      <w:r w:rsidR="00CD3461">
        <w:t xml:space="preserve">a clear </w:t>
      </w:r>
      <w:r w:rsidR="00E2304D">
        <w:t>manufacturing rout</w:t>
      </w:r>
      <w:r w:rsidR="00CD3461">
        <w:t>e</w:t>
      </w:r>
      <w:r w:rsidR="0004068C">
        <w:t>.</w:t>
      </w:r>
    </w:p>
    <w:p w14:paraId="17E9946A" w14:textId="77777777" w:rsidR="00497360" w:rsidRDefault="00497360" w:rsidP="00497360">
      <w:pPr>
        <w:pStyle w:val="08SectionHeader10"/>
        <w:numPr>
          <w:ilvl w:val="0"/>
          <w:numId w:val="5"/>
        </w:numPr>
      </w:pPr>
      <w:r>
        <w:t>Introduction</w:t>
      </w:r>
    </w:p>
    <w:p w14:paraId="04647234" w14:textId="3059908E" w:rsidR="002A1676" w:rsidRDefault="00564DF2" w:rsidP="00CD0466">
      <w:pPr>
        <w:pStyle w:val="09BodyFirstParagraph"/>
      </w:pPr>
      <w:r>
        <w:t>The integration of lasers on</w:t>
      </w:r>
      <w:r w:rsidR="002A1676">
        <w:t xml:space="preserve"> to</w:t>
      </w:r>
      <w:r>
        <w:t xml:space="preserve"> </w:t>
      </w:r>
      <w:r w:rsidR="009E752B">
        <w:t>silicon</w:t>
      </w:r>
      <w:r>
        <w:t xml:space="preserve"> is a key challenge for silicon photonics</w:t>
      </w:r>
      <w:r w:rsidR="009E752B">
        <w:t xml:space="preserve"> for the realization of compact practical devices.</w:t>
      </w:r>
      <w:r w:rsidR="0078038E">
        <w:t xml:space="preserve"> </w:t>
      </w:r>
      <w:r w:rsidR="009E752B">
        <w:t>In order to achieve this</w:t>
      </w:r>
      <w:r w:rsidR="00E57D22">
        <w:t xml:space="preserve"> goal</w:t>
      </w:r>
      <w:r w:rsidR="009E752B">
        <w:t xml:space="preserve"> several competing approaches have been proposed [</w:t>
      </w:r>
      <w:r w:rsidR="009E752B" w:rsidRPr="003D1150">
        <w:rPr>
          <w:rStyle w:val="EndnoteReference"/>
          <w:vertAlign w:val="baseline"/>
        </w:rPr>
        <w:endnoteReference w:id="1"/>
      </w:r>
      <w:r w:rsidR="009E752B">
        <w:t xml:space="preserve">]. </w:t>
      </w:r>
      <w:r w:rsidR="00E57D22">
        <w:t>This is complicated by the</w:t>
      </w:r>
      <w:r w:rsidR="0078038E">
        <w:t xml:space="preserve"> indirect band gap of silicon</w:t>
      </w:r>
      <w:r w:rsidR="00E57D22">
        <w:t>, which</w:t>
      </w:r>
      <w:r w:rsidR="0078038E">
        <w:t xml:space="preserve"> prohibit</w:t>
      </w:r>
      <w:r w:rsidR="009E752B">
        <w:t>s</w:t>
      </w:r>
      <w:r w:rsidR="0078038E">
        <w:t xml:space="preserve"> </w:t>
      </w:r>
      <w:r w:rsidR="009E752B">
        <w:t xml:space="preserve">production of </w:t>
      </w:r>
      <w:r w:rsidR="0078038E">
        <w:t>high power lasers in the material</w:t>
      </w:r>
      <w:r>
        <w:t>.</w:t>
      </w:r>
      <w:r w:rsidR="00B95CEE">
        <w:t xml:space="preserve"> </w:t>
      </w:r>
      <w:r w:rsidR="00E57D22">
        <w:t>For this reason work on</w:t>
      </w:r>
      <w:r w:rsidR="00B95CEE">
        <w:t xml:space="preserve"> </w:t>
      </w:r>
      <w:r w:rsidR="00E57D22">
        <w:t>light sources for</w:t>
      </w:r>
      <w:r w:rsidR="009E752B">
        <w:t xml:space="preserve"> silicon has been </w:t>
      </w:r>
      <w:r w:rsidR="00E57D22">
        <w:t>focused on</w:t>
      </w:r>
      <w:r w:rsidR="009E752B">
        <w:t xml:space="preserve"> the integration </w:t>
      </w:r>
      <w:r w:rsidR="00B95CEE">
        <w:t>of compound semiconductor lasers.</w:t>
      </w:r>
      <w:r>
        <w:t xml:space="preserve"> </w:t>
      </w:r>
      <w:r w:rsidR="009E752B">
        <w:t>T</w:t>
      </w:r>
      <w:r>
        <w:t>he majority of this work has been performed at communication wavelengths where such techniques as wafer bonding</w:t>
      </w:r>
      <w:r w:rsidR="00DB13E8">
        <w:t xml:space="preserve"> and</w:t>
      </w:r>
      <w:r>
        <w:t xml:space="preserve"> transfer printing</w:t>
      </w:r>
      <w:r w:rsidR="0049745B">
        <w:t xml:space="preserve"> [</w:t>
      </w:r>
      <w:r w:rsidR="00F71868" w:rsidRPr="003D1150">
        <w:rPr>
          <w:rStyle w:val="EndnoteReference"/>
          <w:vertAlign w:val="baseline"/>
        </w:rPr>
        <w:endnoteReference w:id="2"/>
      </w:r>
      <w:r w:rsidR="00E57D22" w:rsidRPr="003D1150">
        <w:t>,</w:t>
      </w:r>
      <w:r w:rsidR="00E57D22" w:rsidRPr="003D1150">
        <w:rPr>
          <w:rStyle w:val="EndnoteReference"/>
          <w:vertAlign w:val="baseline"/>
        </w:rPr>
        <w:endnoteReference w:id="3"/>
      </w:r>
      <w:r w:rsidR="003D1150">
        <w:t>,</w:t>
      </w:r>
      <w:r w:rsidR="00A56C49" w:rsidRPr="003D1150">
        <w:rPr>
          <w:rStyle w:val="EndnoteReference"/>
          <w:vertAlign w:val="baseline"/>
        </w:rPr>
        <w:endnoteReference w:id="4"/>
      </w:r>
      <w:r w:rsidR="0049745B">
        <w:t>]</w:t>
      </w:r>
      <w:r>
        <w:t xml:space="preserve"> and </w:t>
      </w:r>
      <w:r w:rsidR="00DB13E8">
        <w:t xml:space="preserve">direct </w:t>
      </w:r>
      <w:r>
        <w:t>growth</w:t>
      </w:r>
      <w:r w:rsidR="0049745B">
        <w:t xml:space="preserve"> [</w:t>
      </w:r>
      <w:r w:rsidR="00F71868" w:rsidRPr="003D1150">
        <w:rPr>
          <w:rStyle w:val="EndnoteReference"/>
          <w:vertAlign w:val="baseline"/>
        </w:rPr>
        <w:endnoteReference w:id="5"/>
      </w:r>
      <w:r w:rsidR="00A56C49" w:rsidRPr="003D1150">
        <w:t>,</w:t>
      </w:r>
      <w:r w:rsidR="00481B2E" w:rsidRPr="003D1150">
        <w:rPr>
          <w:rStyle w:val="EndnoteReference"/>
          <w:vertAlign w:val="baseline"/>
        </w:rPr>
        <w:endnoteReference w:id="6"/>
      </w:r>
      <w:r w:rsidR="0049745B">
        <w:t>]</w:t>
      </w:r>
      <w:r>
        <w:t xml:space="preserve"> have been </w:t>
      </w:r>
      <w:r w:rsidR="002A1676">
        <w:t>demonstrated</w:t>
      </w:r>
      <w:r w:rsidR="00E57D22">
        <w:t>,</w:t>
      </w:r>
      <w:r w:rsidR="0049745B">
        <w:t xml:space="preserve"> along with flip-chip bonding</w:t>
      </w:r>
      <w:r w:rsidR="002A1676">
        <w:t xml:space="preserve"> of</w:t>
      </w:r>
      <w:r>
        <w:t xml:space="preserve"> processed lasers. Considered here is </w:t>
      </w:r>
      <w:r w:rsidR="00E2304D">
        <w:t xml:space="preserve">the </w:t>
      </w:r>
      <w:r>
        <w:t>mid-infrared</w:t>
      </w:r>
      <w:r w:rsidR="00DB13E8">
        <w:t xml:space="preserve"> (M</w:t>
      </w:r>
      <w:r w:rsidR="002A1676">
        <w:t>IR)</w:t>
      </w:r>
      <w:r>
        <w:t xml:space="preserve"> region of the spectrum, where integration work is not as mature as near-infrared</w:t>
      </w:r>
      <w:r w:rsidR="002A1676">
        <w:t xml:space="preserve"> (NIR)</w:t>
      </w:r>
      <w:r w:rsidR="009E752B">
        <w:t xml:space="preserve">. </w:t>
      </w:r>
      <w:r w:rsidR="002137A5">
        <w:t>Q</w:t>
      </w:r>
      <w:r w:rsidR="009E752B">
        <w:t xml:space="preserve">uantum </w:t>
      </w:r>
      <w:r w:rsidR="002137A5">
        <w:t>cascade l</w:t>
      </w:r>
      <w:r w:rsidR="009E752B">
        <w:t>asers (QCLs) [</w:t>
      </w:r>
      <w:r w:rsidR="009E752B" w:rsidRPr="003D1150">
        <w:rPr>
          <w:rStyle w:val="EndnoteReference"/>
          <w:vertAlign w:val="baseline"/>
        </w:rPr>
        <w:endnoteReference w:id="7"/>
      </w:r>
      <w:r w:rsidR="009E752B">
        <w:t>] are routinely used in this region of the spectrum</w:t>
      </w:r>
      <w:r w:rsidR="00E2304D">
        <w:t>,</w:t>
      </w:r>
      <w:r>
        <w:t xml:space="preserve"> and the technical challenges have some differences such as thermal management </w:t>
      </w:r>
      <w:r w:rsidR="0032206D">
        <w:t>of the</w:t>
      </w:r>
      <w:r>
        <w:t xml:space="preserve"> QCLs and the larger mode sizes in the waveguides.</w:t>
      </w:r>
      <w:r w:rsidR="009E752B" w:rsidRPr="009E752B">
        <w:t xml:space="preserve"> </w:t>
      </w:r>
    </w:p>
    <w:p w14:paraId="48F37FE8" w14:textId="0A6EB209" w:rsidR="002A1676" w:rsidRDefault="002A1676" w:rsidP="002A1676">
      <w:pPr>
        <w:pStyle w:val="10BodySubsequentParagraph"/>
      </w:pPr>
      <w:r>
        <w:t xml:space="preserve">The </w:t>
      </w:r>
      <w:r w:rsidR="0032206D">
        <w:t xml:space="preserve">increasing </w:t>
      </w:r>
      <w:r>
        <w:t xml:space="preserve">importance of the </w:t>
      </w:r>
      <w:r w:rsidR="00DB13E8">
        <w:t>MIR</w:t>
      </w:r>
      <w:r>
        <w:t xml:space="preserve"> field</w:t>
      </w:r>
      <w:r w:rsidR="0049745B">
        <w:t xml:space="preserve"> </w:t>
      </w:r>
      <w:r w:rsidR="009F477A">
        <w:t xml:space="preserve">of silicon photonics </w:t>
      </w:r>
      <w:r>
        <w:t>is due to the molecular absorption lines found in this area, which allow for identification</w:t>
      </w:r>
      <w:r w:rsidR="002B1B31">
        <w:t xml:space="preserve"> </w:t>
      </w:r>
      <w:r w:rsidR="009F477A">
        <w:t xml:space="preserve">of a specific molecules </w:t>
      </w:r>
      <w:r w:rsidR="002B1B31">
        <w:t>based on</w:t>
      </w:r>
      <w:r w:rsidR="0049745B">
        <w:t xml:space="preserve"> individual chemical bonds</w:t>
      </w:r>
      <w:r w:rsidR="00D765B0">
        <w:t>, hence</w:t>
      </w:r>
      <w:r w:rsidR="009F477A">
        <w:t xml:space="preserve"> the term</w:t>
      </w:r>
      <w:r w:rsidR="00D765B0">
        <w:t xml:space="preserve"> </w:t>
      </w:r>
      <w:r w:rsidR="009F477A">
        <w:t>‘fi</w:t>
      </w:r>
      <w:r>
        <w:t>ngerprint region</w:t>
      </w:r>
      <w:r w:rsidR="009F477A">
        <w:t>’</w:t>
      </w:r>
      <w:r>
        <w:t>.</w:t>
      </w:r>
      <w:r w:rsidR="0049745B">
        <w:t xml:space="preserve"> </w:t>
      </w:r>
      <w:r w:rsidR="009F477A">
        <w:t>E</w:t>
      </w:r>
      <w:r w:rsidR="0049745B">
        <w:t>nvironment</w:t>
      </w:r>
      <w:r w:rsidR="00875F2C">
        <w:t>al</w:t>
      </w:r>
      <w:r w:rsidR="0032206D">
        <w:t xml:space="preserve"> monitoring</w:t>
      </w:r>
      <w:r w:rsidR="0049745B">
        <w:t xml:space="preserve"> and medical testing</w:t>
      </w:r>
      <w:r w:rsidR="009F477A">
        <w:t xml:space="preserve"> outside of a laboratory</w:t>
      </w:r>
      <w:r w:rsidR="0049745B">
        <w:t xml:space="preserve"> [</w:t>
      </w:r>
      <w:r w:rsidR="00F71868" w:rsidRPr="003D1150">
        <w:rPr>
          <w:rStyle w:val="EndnoteReference"/>
          <w:vertAlign w:val="baseline"/>
        </w:rPr>
        <w:endnoteReference w:id="8"/>
      </w:r>
      <w:r w:rsidR="00F71868" w:rsidRPr="003D1150">
        <w:t>]</w:t>
      </w:r>
      <w:r w:rsidR="0049745B">
        <w:t xml:space="preserve"> </w:t>
      </w:r>
      <w:r w:rsidR="009F477A">
        <w:t xml:space="preserve">require </w:t>
      </w:r>
      <w:r w:rsidR="0049745B">
        <w:t>the advantages</w:t>
      </w:r>
      <w:r w:rsidR="009F477A">
        <w:t xml:space="preserve"> that</w:t>
      </w:r>
      <w:r w:rsidR="0049745B">
        <w:t xml:space="preserve"> silicon photonic manufacture </w:t>
      </w:r>
      <w:r w:rsidR="009F477A">
        <w:t xml:space="preserve">provides </w:t>
      </w:r>
      <w:r w:rsidR="0049745B">
        <w:t>(</w:t>
      </w:r>
      <w:r w:rsidR="00A56C49">
        <w:t>footprint</w:t>
      </w:r>
      <w:r w:rsidR="0049745B">
        <w:t xml:space="preserve">, weight, volume production and cost) </w:t>
      </w:r>
      <w:r w:rsidR="009F477A">
        <w:t>and this is driving</w:t>
      </w:r>
      <w:r w:rsidR="0049745B">
        <w:t xml:space="preserve"> demand</w:t>
      </w:r>
      <w:r w:rsidR="00A56C49">
        <w:t xml:space="preserve"> [</w:t>
      </w:r>
      <w:r w:rsidR="00A56C49" w:rsidRPr="003D1150">
        <w:rPr>
          <w:rStyle w:val="EndnoteReference"/>
          <w:vertAlign w:val="baseline"/>
        </w:rPr>
        <w:endnoteReference w:id="9"/>
      </w:r>
      <w:r w:rsidR="00A56C49" w:rsidRPr="003D1150">
        <w:t>]</w:t>
      </w:r>
      <w:r w:rsidR="009F477A">
        <w:t>, indeed a</w:t>
      </w:r>
      <w:r w:rsidR="002137A5">
        <w:t>pplications for widespread use of medical sensors for either screening or monitoring</w:t>
      </w:r>
      <w:r w:rsidR="002B1B31">
        <w:t xml:space="preserve"> of</w:t>
      </w:r>
      <w:r w:rsidR="002137A5">
        <w:t xml:space="preserve"> patients</w:t>
      </w:r>
      <w:r w:rsidR="009F477A">
        <w:t xml:space="preserve"> will rely on</w:t>
      </w:r>
      <w:r w:rsidR="002B1B31">
        <w:t xml:space="preserve"> such tech</w:t>
      </w:r>
      <w:r w:rsidR="009F477A">
        <w:t>nology</w:t>
      </w:r>
      <w:r w:rsidR="002137A5">
        <w:t xml:space="preserve">. </w:t>
      </w:r>
      <w:r w:rsidR="009F477A">
        <w:t>In addition, the measurement</w:t>
      </w:r>
      <w:r w:rsidR="002137A5">
        <w:t xml:space="preserve"> of </w:t>
      </w:r>
      <w:r w:rsidR="002137A5">
        <w:lastRenderedPageBreak/>
        <w:t xml:space="preserve">greenhouse gases and pollutants in the air, land or </w:t>
      </w:r>
      <w:r w:rsidR="002B1B31">
        <w:t xml:space="preserve">the </w:t>
      </w:r>
      <w:r w:rsidR="002137A5">
        <w:t xml:space="preserve">oceans </w:t>
      </w:r>
      <w:r w:rsidR="009152CD">
        <w:t xml:space="preserve">would benefit, </w:t>
      </w:r>
      <w:r w:rsidR="002137A5">
        <w:t>requir</w:t>
      </w:r>
      <w:r w:rsidR="009152CD">
        <w:t>ing</w:t>
      </w:r>
      <w:r w:rsidR="002137A5">
        <w:t xml:space="preserve"> extra mechanical strength and pose unique challenges</w:t>
      </w:r>
      <w:r w:rsidR="009152CD">
        <w:t xml:space="preserve"> from a harsh working environment</w:t>
      </w:r>
      <w:r w:rsidR="002137A5">
        <w:t>. However, the integration approach itself will be similar across applications and wavelengths.</w:t>
      </w:r>
    </w:p>
    <w:p w14:paraId="4B21CDC6" w14:textId="1F29C56B" w:rsidR="002137A5" w:rsidRDefault="002137A5" w:rsidP="002137A5">
      <w:pPr>
        <w:pStyle w:val="10BodySubsequentParagraph"/>
      </w:pPr>
      <w:r>
        <w:t>The operating wavelength demonstrated her</w:t>
      </w:r>
      <w:r w:rsidR="009152CD">
        <w:t>e,</w:t>
      </w:r>
      <w:r>
        <w:t xml:space="preserve"> </w:t>
      </w:r>
      <w:r w:rsidR="003B29EA">
        <w:t xml:space="preserve">QCLs at </w:t>
      </w:r>
      <w:r>
        <w:t xml:space="preserve">5.7 </w:t>
      </w:r>
      <w:r>
        <w:rPr>
          <w:rFonts w:cs="Times New Roman"/>
        </w:rPr>
        <w:t>µ</w:t>
      </w:r>
      <w:r>
        <w:t>m</w:t>
      </w:r>
      <w:r w:rsidR="003B29EA">
        <w:t xml:space="preserve"> integrated to a germanium-on-silicon (GOS) waveguide platform</w:t>
      </w:r>
      <w:r w:rsidR="009152CD">
        <w:t>,</w:t>
      </w:r>
      <w:r>
        <w:t xml:space="preserve"> is</w:t>
      </w:r>
      <w:r w:rsidR="009152CD">
        <w:t xml:space="preserve"> for example</w:t>
      </w:r>
      <w:r>
        <w:t xml:space="preserve"> applicable to important medical applications such as the therapeutic drug monitoring (TDM) of phenytoin used to control various types of seizures [</w:t>
      </w:r>
      <w:r w:rsidRPr="003D1150">
        <w:rPr>
          <w:rStyle w:val="EndnoteReference"/>
          <w:vertAlign w:val="baseline"/>
        </w:rPr>
        <w:endnoteReference w:id="10"/>
      </w:r>
      <w:r w:rsidRPr="003D1150">
        <w:t>,</w:t>
      </w:r>
      <w:r w:rsidR="00EA64FC">
        <w:t xml:space="preserve"> </w:t>
      </w:r>
      <w:r w:rsidRPr="003D1150">
        <w:rPr>
          <w:rStyle w:val="EndnoteReference"/>
          <w:vertAlign w:val="baseline"/>
        </w:rPr>
        <w:endnoteReference w:id="11"/>
      </w:r>
      <w:r w:rsidRPr="003D1150">
        <w:t>,</w:t>
      </w:r>
      <w:r w:rsidR="00EA64FC">
        <w:t xml:space="preserve"> </w:t>
      </w:r>
      <w:r w:rsidRPr="003D1150">
        <w:rPr>
          <w:rStyle w:val="EndnoteReference"/>
          <w:vertAlign w:val="baseline"/>
        </w:rPr>
        <w:endnoteReference w:id="12"/>
      </w:r>
      <w:r w:rsidR="009152CD">
        <w:t>] as well as the</w:t>
      </w:r>
      <w:r>
        <w:t xml:space="preserve"> determination of estrogen [</w:t>
      </w:r>
      <w:r w:rsidRPr="003D1150">
        <w:rPr>
          <w:rStyle w:val="EndnoteReference"/>
          <w:vertAlign w:val="baseline"/>
        </w:rPr>
        <w:endnoteReference w:id="13"/>
      </w:r>
      <w:r w:rsidRPr="003D1150">
        <w:t>]</w:t>
      </w:r>
      <w:r w:rsidR="009152CD">
        <w:t>,</w:t>
      </w:r>
      <w:r>
        <w:t xml:space="preserve"> useful for the diagnosis of breast cancer [</w:t>
      </w:r>
      <w:r w:rsidRPr="003D1150">
        <w:rPr>
          <w:rStyle w:val="EndnoteReference"/>
          <w:vertAlign w:val="baseline"/>
        </w:rPr>
        <w:endnoteReference w:id="14"/>
      </w:r>
      <w:r w:rsidRPr="003D1150">
        <w:t>]</w:t>
      </w:r>
      <w:r>
        <w:t>. However, the technique is transferable across the MIR for wav</w:t>
      </w:r>
      <w:r w:rsidR="003B29EA">
        <w:t xml:space="preserve">eguide absorption spectroscopy. </w:t>
      </w:r>
      <w:r w:rsidR="009152CD">
        <w:t>As a further</w:t>
      </w:r>
      <w:r w:rsidR="002B1B31">
        <w:t xml:space="preserve"> example</w:t>
      </w:r>
      <w:r w:rsidR="003B29EA">
        <w:t xml:space="preserve"> we envisage the integration of ICLs at shorter wavelengths for </w:t>
      </w:r>
      <w:r w:rsidR="002B1B31">
        <w:t>methane sensing [</w:t>
      </w:r>
      <w:r w:rsidR="002B1B31" w:rsidRPr="00DA64E5">
        <w:rPr>
          <w:rStyle w:val="EndnoteReference"/>
          <w:vertAlign w:val="baseline"/>
        </w:rPr>
        <w:endnoteReference w:id="15"/>
      </w:r>
      <w:r w:rsidR="002B1B31">
        <w:t xml:space="preserve">] at 3.8 </w:t>
      </w:r>
      <w:r w:rsidR="002B1B31">
        <w:rPr>
          <w:rFonts w:cs="Times New Roman"/>
        </w:rPr>
        <w:t>µ</w:t>
      </w:r>
      <w:r w:rsidR="002B1B31">
        <w:t xml:space="preserve">m </w:t>
      </w:r>
      <w:r w:rsidR="00E2304D">
        <w:t xml:space="preserve">for </w:t>
      </w:r>
      <w:r w:rsidR="002B1B31">
        <w:t>a submersible platform.</w:t>
      </w:r>
    </w:p>
    <w:p w14:paraId="56453C7C" w14:textId="0201B761" w:rsidR="003B6355" w:rsidRDefault="0032206D" w:rsidP="00FD2754">
      <w:pPr>
        <w:pStyle w:val="10BodySubsequentParagraph"/>
      </w:pPr>
      <w:r>
        <w:t>Heterogenious</w:t>
      </w:r>
      <w:r w:rsidR="0078038E">
        <w:t xml:space="preserve"> bonding of </w:t>
      </w:r>
      <w:r w:rsidR="002B1B31">
        <w:t>QCL gain material to</w:t>
      </w:r>
      <w:r w:rsidR="00B95CEE">
        <w:t xml:space="preserve"> </w:t>
      </w:r>
      <w:r w:rsidR="00DB13E8">
        <w:t>MIR</w:t>
      </w:r>
      <w:r w:rsidR="002B1B31">
        <w:t xml:space="preserve"> photonic integrated circuit (PIC)</w:t>
      </w:r>
      <w:r>
        <w:t xml:space="preserve"> for evanescent coupling</w:t>
      </w:r>
      <w:r w:rsidR="00077F25">
        <w:t xml:space="preserve"> w</w:t>
      </w:r>
      <w:r w:rsidR="00B95CEE">
        <w:t>as</w:t>
      </w:r>
      <w:r w:rsidR="00077F25">
        <w:t xml:space="preserve"> first </w:t>
      </w:r>
      <w:r w:rsidR="00B95CEE">
        <w:t>demonstrated</w:t>
      </w:r>
      <w:r w:rsidR="00B77C70">
        <w:t xml:space="preserve"> on silicon</w:t>
      </w:r>
      <w:r w:rsidR="00B95CEE">
        <w:t xml:space="preserve"> [</w:t>
      </w:r>
      <w:r w:rsidR="00F71868" w:rsidRPr="003D1150">
        <w:rPr>
          <w:rStyle w:val="EndnoteReference"/>
          <w:vertAlign w:val="baseline"/>
        </w:rPr>
        <w:endnoteReference w:id="16"/>
      </w:r>
      <w:r w:rsidR="00F71868" w:rsidRPr="003D1150">
        <w:t>]</w:t>
      </w:r>
      <w:r w:rsidR="00B77C70">
        <w:t xml:space="preserve"> at 4.7 </w:t>
      </w:r>
      <w:r w:rsidR="00B77C70">
        <w:rPr>
          <w:rFonts w:cs="Times New Roman"/>
        </w:rPr>
        <w:t>µ</w:t>
      </w:r>
      <w:r w:rsidR="00B77C70">
        <w:t xml:space="preserve">m using the </w:t>
      </w:r>
      <w:r w:rsidR="009152CD">
        <w:t>s</w:t>
      </w:r>
      <w:r w:rsidR="00B77C70">
        <w:t>ilicon-on-</w:t>
      </w:r>
      <w:r w:rsidR="009152CD">
        <w:t>n</w:t>
      </w:r>
      <w:r w:rsidR="00B77C70">
        <w:t>itride-on-</w:t>
      </w:r>
      <w:r w:rsidR="009152CD">
        <w:t>i</w:t>
      </w:r>
      <w:r w:rsidR="00B77C70">
        <w:t>nsulator (SONOI) platform</w:t>
      </w:r>
      <w:r w:rsidR="00077F25">
        <w:t xml:space="preserve"> with outputs from a coupled waveguide around 3</w:t>
      </w:r>
      <w:r w:rsidR="008C60EC">
        <w:t>1</w:t>
      </w:r>
      <w:r w:rsidR="00077F25">
        <w:t xml:space="preserve"> mW</w:t>
      </w:r>
      <w:r w:rsidR="008C60EC">
        <w:t xml:space="preserve"> in pulsed operation at 20</w:t>
      </w:r>
      <w:r w:rsidR="008C60EC" w:rsidRPr="008C60EC">
        <w:rPr>
          <w:vertAlign w:val="superscript"/>
        </w:rPr>
        <w:t>o</w:t>
      </w:r>
      <w:r w:rsidR="008C60EC">
        <w:t>C</w:t>
      </w:r>
      <w:r w:rsidR="00182775">
        <w:t>.</w:t>
      </w:r>
      <w:r w:rsidR="008C60EC">
        <w:t xml:space="preserve"> Laser arrays of distributed feedback (DFB) and distributed Bragg-reflection (DBR) laser were subsequently demonstrated and combined with </w:t>
      </w:r>
      <w:r w:rsidR="008C60EC" w:rsidRPr="008C60EC">
        <w:t>arrayed waveguide grating (AWG) multiplexers</w:t>
      </w:r>
      <w:r w:rsidR="008C60EC">
        <w:t xml:space="preserve"> [</w:t>
      </w:r>
      <w:r w:rsidR="008C60EC" w:rsidRPr="003D1150">
        <w:rPr>
          <w:rStyle w:val="EndnoteReference"/>
          <w:vertAlign w:val="baseline"/>
        </w:rPr>
        <w:endnoteReference w:id="17"/>
      </w:r>
      <w:r w:rsidR="008C60EC" w:rsidRPr="003D1150">
        <w:t>]</w:t>
      </w:r>
      <w:r w:rsidR="008C60EC">
        <w:t xml:space="preserve"> on a silicon-on-insulator (SOI) platform.</w:t>
      </w:r>
      <w:r w:rsidR="00182775">
        <w:t xml:space="preserve"> </w:t>
      </w:r>
    </w:p>
    <w:p w14:paraId="3F3A3FAC" w14:textId="765BB9F5" w:rsidR="00147672" w:rsidRDefault="00182775" w:rsidP="00FD2754">
      <w:pPr>
        <w:pStyle w:val="10BodySubsequentParagraph"/>
      </w:pPr>
      <w:r>
        <w:t>The direct growth of a QCL on silicon</w:t>
      </w:r>
      <w:r w:rsidR="003B29EA">
        <w:t xml:space="preserve"> wafers </w:t>
      </w:r>
      <w:r>
        <w:t>was first demonstrated with output power up to 5</w:t>
      </w:r>
      <w:r w:rsidR="00B77C70">
        <w:t xml:space="preserve">0 mW </w:t>
      </w:r>
      <w:r w:rsidR="00077F25">
        <w:t xml:space="preserve">per </w:t>
      </w:r>
      <w:r>
        <w:t>laser</w:t>
      </w:r>
      <w:r w:rsidR="00B77C70">
        <w:t xml:space="preserve"> facet</w:t>
      </w:r>
      <w:r>
        <w:t xml:space="preserve"> [</w:t>
      </w:r>
      <w:r w:rsidRPr="003D1150">
        <w:rPr>
          <w:rStyle w:val="EndnoteReference"/>
          <w:vertAlign w:val="baseline"/>
        </w:rPr>
        <w:endnoteReference w:id="18"/>
      </w:r>
      <w:r w:rsidRPr="003D1150">
        <w:t>]</w:t>
      </w:r>
      <w:r>
        <w:t xml:space="preserve"> emitting around 11 </w:t>
      </w:r>
      <w:r>
        <w:rPr>
          <w:rFonts w:cs="Times New Roman"/>
        </w:rPr>
        <w:t>µ</w:t>
      </w:r>
      <w:r>
        <w:t>m with up to 40 mW of power per facet</w:t>
      </w:r>
      <w:r w:rsidR="00B77C70">
        <w:t xml:space="preserve">. Further development has included </w:t>
      </w:r>
      <w:r w:rsidR="003B29EA">
        <w:t>i</w:t>
      </w:r>
      <w:r w:rsidR="00B77C70">
        <w:t xml:space="preserve">nterband </w:t>
      </w:r>
      <w:r w:rsidR="003B29EA">
        <w:t>c</w:t>
      </w:r>
      <w:r w:rsidR="00B77C70">
        <w:t xml:space="preserve">ascade </w:t>
      </w:r>
      <w:r w:rsidR="003B29EA">
        <w:t>l</w:t>
      </w:r>
      <w:r w:rsidR="00B77C70">
        <w:t>asers (ICL)</w:t>
      </w:r>
      <w:r w:rsidR="00115506">
        <w:t xml:space="preserve"> [</w:t>
      </w:r>
      <w:r w:rsidR="00115506" w:rsidRPr="003D1150">
        <w:rPr>
          <w:rStyle w:val="EndnoteReference"/>
          <w:vertAlign w:val="baseline"/>
        </w:rPr>
        <w:endnoteReference w:id="19"/>
      </w:r>
      <w:r w:rsidR="00115506" w:rsidRPr="003D1150">
        <w:t>]</w:t>
      </w:r>
      <w:r w:rsidR="00B77C70">
        <w:t xml:space="preserve"> at lower wavelengths [</w:t>
      </w:r>
      <w:r w:rsidR="00B77C70" w:rsidRPr="003D1150">
        <w:rPr>
          <w:rStyle w:val="EndnoteReference"/>
          <w:vertAlign w:val="baseline"/>
        </w:rPr>
        <w:endnoteReference w:id="20"/>
      </w:r>
      <w:r w:rsidR="000D20F7" w:rsidRPr="003D1150">
        <w:t>,</w:t>
      </w:r>
      <w:r w:rsidR="00EA64FC">
        <w:t xml:space="preserve"> </w:t>
      </w:r>
      <w:r w:rsidR="000D20F7" w:rsidRPr="003D1150">
        <w:rPr>
          <w:rStyle w:val="EndnoteReference"/>
          <w:vertAlign w:val="baseline"/>
        </w:rPr>
        <w:endnoteReference w:id="21"/>
      </w:r>
      <w:r w:rsidR="00B77C70">
        <w:t xml:space="preserve">] demonstrating </w:t>
      </w:r>
      <w:r w:rsidR="000D20F7">
        <w:t>CW output</w:t>
      </w:r>
      <w:r>
        <w:t xml:space="preserve"> powers</w:t>
      </w:r>
      <w:r w:rsidR="000D20F7">
        <w:t xml:space="preserve"> of 40</w:t>
      </w:r>
      <w:r w:rsidR="00B77C70">
        <w:t xml:space="preserve"> mW </w:t>
      </w:r>
      <w:r w:rsidR="000D20F7">
        <w:t>at room temperature at 3.3</w:t>
      </w:r>
      <w:r w:rsidR="00B77C70">
        <w:t xml:space="preserve"> </w:t>
      </w:r>
      <w:r w:rsidR="00B77C70">
        <w:rPr>
          <w:rFonts w:cs="Times New Roman"/>
        </w:rPr>
        <w:t>µ</w:t>
      </w:r>
      <w:r>
        <w:t>m</w:t>
      </w:r>
      <w:r w:rsidR="00B95CEE">
        <w:t>.</w:t>
      </w:r>
      <w:r w:rsidR="00116B92">
        <w:t xml:space="preserve"> </w:t>
      </w:r>
      <w:r w:rsidR="003B6355">
        <w:t xml:space="preserve">In the far infrared an InP-based QCL grown on silicon, </w:t>
      </w:r>
      <w:r w:rsidR="003B6355" w:rsidRPr="003B6355">
        <w:t>4</w:t>
      </w:r>
      <w:r w:rsidR="003B6355" w:rsidRPr="003B6355">
        <w:rPr>
          <w:vertAlign w:val="superscript"/>
        </w:rPr>
        <w:t>o</w:t>
      </w:r>
      <w:r w:rsidR="003B6355" w:rsidRPr="003B6355">
        <w:t xml:space="preserve"> miscut toward [110]</w:t>
      </w:r>
      <w:r w:rsidR="003B6355">
        <w:t>, and an InP epitaxial template [</w:t>
      </w:r>
      <w:r w:rsidR="003B6355" w:rsidRPr="003D1150">
        <w:rPr>
          <w:rStyle w:val="EndnoteReference"/>
          <w:vertAlign w:val="baseline"/>
        </w:rPr>
        <w:endnoteReference w:id="22"/>
      </w:r>
      <w:r w:rsidR="003B6355" w:rsidRPr="003D1150">
        <w:t>]</w:t>
      </w:r>
      <w:r w:rsidR="003B6355">
        <w:t xml:space="preserve"> has demonstrated up to </w:t>
      </w:r>
      <w:r w:rsidR="003B6355" w:rsidRPr="00290A0F">
        <w:t>4 W</w:t>
      </w:r>
      <w:r w:rsidR="003B6355">
        <w:t xml:space="preserve"> of output power</w:t>
      </w:r>
      <w:r w:rsidR="003B6355" w:rsidRPr="003B6355">
        <w:t xml:space="preserve"> </w:t>
      </w:r>
      <w:r w:rsidR="003B6355">
        <w:t>from the laser facets at room temperature. These lasers do not demonstrate integration to waveguides</w:t>
      </w:r>
      <w:r w:rsidR="003B29EA">
        <w:t xml:space="preserve"> or a GOS sensing platform</w:t>
      </w:r>
      <w:r w:rsidR="003B6355">
        <w:t xml:space="preserve">, but </w:t>
      </w:r>
      <w:r w:rsidR="003B29EA">
        <w:t>clearly demonstrate</w:t>
      </w:r>
      <w:r w:rsidR="003B6355">
        <w:t xml:space="preserve"> promising routes to do so</w:t>
      </w:r>
      <w:r w:rsidR="009152CD">
        <w:t xml:space="preserve"> considering that at</w:t>
      </w:r>
      <w:r w:rsidR="002A496A">
        <w:t xml:space="preserve"> shorter MIR</w:t>
      </w:r>
      <w:r w:rsidR="00FE6E2B">
        <w:t xml:space="preserve"> (2.25 </w:t>
      </w:r>
      <w:r w:rsidR="00FE6E2B">
        <w:rPr>
          <w:rFonts w:cs="Times New Roman"/>
        </w:rPr>
        <w:t>µ</w:t>
      </w:r>
      <w:r w:rsidR="00FE6E2B">
        <w:t>m)</w:t>
      </w:r>
      <w:r w:rsidR="002A496A">
        <w:t xml:space="preserve"> wavelengths GaSb lasers have been grown on to (001)</w:t>
      </w:r>
      <w:r w:rsidR="00FE6E2B">
        <w:t xml:space="preserve"> miscut</w:t>
      </w:r>
      <w:r w:rsidR="002A496A">
        <w:t xml:space="preserve"> silicon</w:t>
      </w:r>
      <w:r w:rsidR="00FE6E2B">
        <w:t xml:space="preserve"> [</w:t>
      </w:r>
      <w:r w:rsidR="00FE6E2B" w:rsidRPr="003D1150">
        <w:rPr>
          <w:rStyle w:val="EndnoteReference"/>
          <w:vertAlign w:val="baseline"/>
        </w:rPr>
        <w:endnoteReference w:id="23"/>
      </w:r>
      <w:r w:rsidR="00FE6E2B">
        <w:t>]</w:t>
      </w:r>
      <w:r w:rsidR="002A496A">
        <w:t xml:space="preserve"> and coupled to nitride waveguides [</w:t>
      </w:r>
      <w:r w:rsidR="002A496A" w:rsidRPr="003D1150">
        <w:rPr>
          <w:rStyle w:val="EndnoteReference"/>
          <w:vertAlign w:val="baseline"/>
        </w:rPr>
        <w:endnoteReference w:id="24"/>
      </w:r>
      <w:r w:rsidR="002A496A">
        <w:t>].</w:t>
      </w:r>
    </w:p>
    <w:p w14:paraId="6EB9495A" w14:textId="5F6AF17A" w:rsidR="0087686A" w:rsidRDefault="00FB406E" w:rsidP="00FD2754">
      <w:pPr>
        <w:pStyle w:val="10BodySubsequentParagraph"/>
      </w:pPr>
      <w:r>
        <w:t xml:space="preserve">Most recently a system has demonstrated integration </w:t>
      </w:r>
      <w:r w:rsidR="003B6355">
        <w:t>by</w:t>
      </w:r>
      <w:r>
        <w:t xml:space="preserve"> flip-chip placement of a QCL(DFB) at 7.2 </w:t>
      </w:r>
      <w:r w:rsidR="00C25F5B">
        <w:rPr>
          <w:rFonts w:cs="Times New Roman"/>
        </w:rPr>
        <w:t>µ</w:t>
      </w:r>
      <w:r>
        <w:t>m with sub-</w:t>
      </w:r>
      <w:r w:rsidR="00C25F5B">
        <w:t>milliwatt</w:t>
      </w:r>
      <w:r w:rsidR="00BE646E">
        <w:t>s</w:t>
      </w:r>
      <w:r w:rsidR="00C25F5B">
        <w:t xml:space="preserve"> of </w:t>
      </w:r>
      <w:r w:rsidR="00182775">
        <w:t xml:space="preserve">CW </w:t>
      </w:r>
      <w:r>
        <w:t>power [</w:t>
      </w:r>
      <w:r w:rsidRPr="003D1150">
        <w:rPr>
          <w:rStyle w:val="EndnoteReference"/>
          <w:vertAlign w:val="baseline"/>
        </w:rPr>
        <w:endnoteReference w:id="25"/>
      </w:r>
      <w:r w:rsidRPr="003D1150">
        <w:t>]</w:t>
      </w:r>
      <w:r w:rsidR="0047260C">
        <w:t xml:space="preserve"> coupled to a </w:t>
      </w:r>
      <w:r w:rsidR="003B29EA">
        <w:t>GOS</w:t>
      </w:r>
      <w:r w:rsidR="003B6355">
        <w:t xml:space="preserve"> waveguide</w:t>
      </w:r>
      <w:r>
        <w:t>. This system used a support structure and self-alignment by solder surface tension</w:t>
      </w:r>
      <w:r w:rsidR="00990C36">
        <w:t xml:space="preserve"> upon heating</w:t>
      </w:r>
      <w:r>
        <w:t xml:space="preserve"> [</w:t>
      </w:r>
      <w:r w:rsidRPr="003D1150">
        <w:rPr>
          <w:rStyle w:val="EndnoteReference"/>
          <w:vertAlign w:val="baseline"/>
        </w:rPr>
        <w:endnoteReference w:id="26"/>
      </w:r>
      <w:r w:rsidRPr="003D1150">
        <w:t>,</w:t>
      </w:r>
      <w:r w:rsidR="009B53F7">
        <w:t xml:space="preserve"> </w:t>
      </w:r>
      <w:r w:rsidRPr="003D1150">
        <w:rPr>
          <w:rStyle w:val="EndnoteReference"/>
          <w:vertAlign w:val="baseline"/>
        </w:rPr>
        <w:endnoteReference w:id="27"/>
      </w:r>
      <w:r w:rsidR="00877FA4">
        <w:t>]</w:t>
      </w:r>
      <w:r w:rsidR="000D1790">
        <w:t xml:space="preserve"> with the solder deposited by screen printing. T</w:t>
      </w:r>
      <w:r w:rsidR="00877FA4">
        <w:t>he final position of the chip, and hence yield, is highly dependent upon several factors including: tolerances of volume of deposited material, edge definition of the bond pads and deposited material leading to bond pad wetting, size-friction,</w:t>
      </w:r>
      <w:r w:rsidR="000D1790">
        <w:t xml:space="preserve"> </w:t>
      </w:r>
      <w:r w:rsidR="00877FA4">
        <w:t>force ratios.</w:t>
      </w:r>
    </w:p>
    <w:p w14:paraId="2452FCF2" w14:textId="2F4D3A35" w:rsidR="00990C36" w:rsidRDefault="0032206D" w:rsidP="00990C36">
      <w:pPr>
        <w:pStyle w:val="10BodySubsequentParagraph"/>
      </w:pPr>
      <w:r>
        <w:t xml:space="preserve">Described </w:t>
      </w:r>
      <w:r w:rsidR="009152CD">
        <w:t>here</w:t>
      </w:r>
      <w:r>
        <w:t xml:space="preserve"> is </w:t>
      </w:r>
      <w:r w:rsidR="00990C36">
        <w:t>the first</w:t>
      </w:r>
      <w:r>
        <w:t xml:space="preserve"> demonstration of</w:t>
      </w:r>
      <w:r w:rsidR="00E80313">
        <w:t xml:space="preserve"> coupling efficiency of</w:t>
      </w:r>
      <w:r>
        <w:t xml:space="preserve"> fully processed flip-chip bonded QCL</w:t>
      </w:r>
      <w:r w:rsidR="009152CD">
        <w:t>,</w:t>
      </w:r>
      <w:r w:rsidR="00115506">
        <w:t xml:space="preserve"> laser bars</w:t>
      </w:r>
      <w:r w:rsidR="009152CD">
        <w:t>,</w:t>
      </w:r>
      <w:r w:rsidR="00115506">
        <w:t xml:space="preserve"> coupled to</w:t>
      </w:r>
      <w:r>
        <w:t xml:space="preserve"> </w:t>
      </w:r>
      <w:r w:rsidR="0047260C">
        <w:t>GOS waveguides</w:t>
      </w:r>
      <w:r>
        <w:t xml:space="preserve"> </w:t>
      </w:r>
      <w:r w:rsidR="00654C4A">
        <w:t xml:space="preserve">for direct </w:t>
      </w:r>
      <w:r w:rsidR="00E80313">
        <w:t>end-fire coupling</w:t>
      </w:r>
      <w:r w:rsidR="00990C36">
        <w:t>.</w:t>
      </w:r>
      <w:r w:rsidR="00E80313">
        <w:t xml:space="preserve"> Previously we have demonstrated </w:t>
      </w:r>
      <w:r w:rsidR="00D00E21">
        <w:t>the first hybrid integration of QCL on a silicon photonics platform</w:t>
      </w:r>
      <w:r w:rsidR="00683611">
        <w:t xml:space="preserve"> [</w:t>
      </w:r>
      <w:r w:rsidR="00683611" w:rsidRPr="003D1150">
        <w:rPr>
          <w:rStyle w:val="EndnoteReference"/>
          <w:vertAlign w:val="baseline"/>
        </w:rPr>
        <w:endnoteReference w:id="28"/>
      </w:r>
      <w:r w:rsidR="00683611" w:rsidRPr="003D1150">
        <w:t>,</w:t>
      </w:r>
      <w:r w:rsidR="00683611" w:rsidRPr="003D1150">
        <w:rPr>
          <w:rStyle w:val="EndnoteReference"/>
          <w:vertAlign w:val="baseline"/>
        </w:rPr>
        <w:endnoteReference w:id="29"/>
      </w:r>
      <w:r w:rsidR="00683611">
        <w:t>]</w:t>
      </w:r>
      <w:r w:rsidR="009152CD">
        <w:t>, where w</w:t>
      </w:r>
      <w:r w:rsidR="00E80313">
        <w:t xml:space="preserve">eak </w:t>
      </w:r>
      <w:r w:rsidR="00683611">
        <w:t xml:space="preserve">endfire </w:t>
      </w:r>
      <w:r w:rsidR="00E80313">
        <w:t>coupling</w:t>
      </w:r>
      <w:r w:rsidR="00D00E21">
        <w:t xml:space="preserve"> </w:t>
      </w:r>
      <w:r w:rsidR="00683611">
        <w:t xml:space="preserve">to a germanium waveguide </w:t>
      </w:r>
      <w:r w:rsidR="000D1790">
        <w:t xml:space="preserve">was </w:t>
      </w:r>
      <w:r w:rsidR="00D00E21">
        <w:t>measured</w:t>
      </w:r>
      <w:r w:rsidR="00E80313">
        <w:t xml:space="preserve"> from output gratings </w:t>
      </w:r>
      <w:r w:rsidR="00683611">
        <w:t xml:space="preserve">downstream, </w:t>
      </w:r>
      <w:r w:rsidR="00E80313">
        <w:t>and routes to improvements</w:t>
      </w:r>
      <w:r w:rsidR="00683611">
        <w:t xml:space="preserve"> presented</w:t>
      </w:r>
      <w:r w:rsidR="00E80313">
        <w:t>.</w:t>
      </w:r>
      <w:r w:rsidR="00990C36">
        <w:t xml:space="preserve"> Mi</w:t>
      </w:r>
      <w:r w:rsidR="00C25F5B">
        <w:t xml:space="preserve">lliwatts </w:t>
      </w:r>
      <w:r w:rsidR="00ED763C">
        <w:t>of coupled power</w:t>
      </w:r>
      <w:r w:rsidR="00115506">
        <w:t xml:space="preserve"> </w:t>
      </w:r>
      <w:r w:rsidR="00990C36">
        <w:t>are achieved</w:t>
      </w:r>
      <w:r w:rsidR="00E80313">
        <w:t xml:space="preserve"> </w:t>
      </w:r>
      <w:r w:rsidR="00D00E21">
        <w:t xml:space="preserve">in this work, </w:t>
      </w:r>
      <w:r w:rsidR="00683611">
        <w:t>from</w:t>
      </w:r>
      <w:r w:rsidR="000D1790">
        <w:t xml:space="preserve"> this</w:t>
      </w:r>
      <w:r w:rsidR="00D00E21">
        <w:t xml:space="preserve"> </w:t>
      </w:r>
      <w:r w:rsidR="00683611">
        <w:t>second</w:t>
      </w:r>
      <w:r w:rsidR="00E80313">
        <w:t xml:space="preserve"> generation of </w:t>
      </w:r>
      <w:r w:rsidR="00D00E21">
        <w:t>device</w:t>
      </w:r>
      <w:r w:rsidR="00654C4A">
        <w:t>.</w:t>
      </w:r>
      <w:r w:rsidR="00115506">
        <w:t xml:space="preserve"> The alignment in this case is provided by the chip-chip bonding tool itself in conjunction with a support structure</w:t>
      </w:r>
      <w:r w:rsidR="00990C36">
        <w:t xml:space="preserve"> for the vertical alignment along with specific machine tooling</w:t>
      </w:r>
      <w:r w:rsidR="0087686A">
        <w:t xml:space="preserve"> [</w:t>
      </w:r>
      <w:r w:rsidR="0087686A" w:rsidRPr="003D1150">
        <w:rPr>
          <w:rStyle w:val="EndnoteReference"/>
          <w:vertAlign w:val="baseline"/>
        </w:rPr>
        <w:endnoteReference w:id="30"/>
      </w:r>
      <w:r w:rsidR="0087686A" w:rsidRPr="003D1150">
        <w:t>]</w:t>
      </w:r>
      <w:r w:rsidR="00115506">
        <w:t>.</w:t>
      </w:r>
      <w:r w:rsidR="00654C4A">
        <w:t xml:space="preserve"> </w:t>
      </w:r>
      <w:r w:rsidR="00115506">
        <w:t xml:space="preserve">This system exhibits the power required for absorption spectroscopy with a bonding technique that eliminates </w:t>
      </w:r>
      <w:r w:rsidR="00990C36">
        <w:t>the issues of the interface associated with die/wafer</w:t>
      </w:r>
      <w:r w:rsidR="00115506">
        <w:t xml:space="preserve"> bonded and </w:t>
      </w:r>
      <w:r w:rsidR="00990C36">
        <w:t xml:space="preserve">monolithic </w:t>
      </w:r>
      <w:r w:rsidR="00115506">
        <w:t xml:space="preserve">grown structures. </w:t>
      </w:r>
      <w:r w:rsidR="00990C36">
        <w:t xml:space="preserve">The gold-tin alloy </w:t>
      </w:r>
      <w:r w:rsidR="009152CD">
        <w:t>bonded</w:t>
      </w:r>
      <w:r w:rsidR="00990C36">
        <w:t xml:space="preserve"> along the length of each individual laser to act both as an industrial standard contact</w:t>
      </w:r>
      <w:r w:rsidR="009152CD">
        <w:t xml:space="preserve"> solder</w:t>
      </w:r>
      <w:r w:rsidR="00990C36">
        <w:t xml:space="preserve"> and also as a heatsink from the QCL to the PIC substrate where thermal management is of critical importance for the laser.</w:t>
      </w:r>
    </w:p>
    <w:p w14:paraId="5D0C1EA3" w14:textId="235434ED" w:rsidR="00990C36" w:rsidRDefault="00990C36" w:rsidP="00990C36">
      <w:pPr>
        <w:pStyle w:val="10BodySubsequentParagraph"/>
      </w:pPr>
      <w:r>
        <w:t>Importantly, this approach</w:t>
      </w:r>
      <w:r w:rsidR="00654C4A">
        <w:t xml:space="preserve"> allows for manufacturing</w:t>
      </w:r>
      <w:r w:rsidR="0032206D">
        <w:t xml:space="preserve"> of the GOS and QCL components</w:t>
      </w:r>
      <w:r w:rsidR="008A27BB">
        <w:t xml:space="preserve"> using optimal fabrication for each component</w:t>
      </w:r>
      <w:r w:rsidR="0032206D">
        <w:t xml:space="preserve"> with minimal back-end processing</w:t>
      </w:r>
      <w:r>
        <w:t>. Processes and tooling allow</w:t>
      </w:r>
      <w:r w:rsidR="00115506">
        <w:t xml:space="preserve"> mature manufacturing technology</w:t>
      </w:r>
      <w:r w:rsidR="00BE646E">
        <w:t xml:space="preserve"> for passive alignment of lasers with the</w:t>
      </w:r>
      <w:r w:rsidR="002B1B31">
        <w:t xml:space="preserve"> PIC</w:t>
      </w:r>
      <w:r w:rsidR="00BE646E">
        <w:t>.</w:t>
      </w:r>
      <w:r w:rsidR="00C9239F">
        <w:t xml:space="preserve"> </w:t>
      </w:r>
    </w:p>
    <w:p w14:paraId="7E42E210" w14:textId="7F471B76" w:rsidR="00990C36" w:rsidRDefault="00990C36" w:rsidP="00990C36">
      <w:pPr>
        <w:pStyle w:val="10BodySubsequentParagraph"/>
      </w:pPr>
      <w:r w:rsidRPr="00A27259">
        <w:t xml:space="preserve">The </w:t>
      </w:r>
      <w:r>
        <w:t>nov</w:t>
      </w:r>
      <w:r w:rsidR="004069AB">
        <w:t>e</w:t>
      </w:r>
      <w:r>
        <w:t xml:space="preserve">l </w:t>
      </w:r>
      <w:r w:rsidR="00D62A6A">
        <w:t>integration</w:t>
      </w:r>
      <w:r>
        <w:t xml:space="preserve"> of </w:t>
      </w:r>
      <w:r w:rsidRPr="00A27259">
        <w:t>laser bar</w:t>
      </w:r>
      <w:r>
        <w:t>s</w:t>
      </w:r>
      <w:r w:rsidRPr="00A27259">
        <w:t xml:space="preserve"> </w:t>
      </w:r>
      <w:r>
        <w:t xml:space="preserve">(14.5 mm by 2.5 mm, with 24 lasers along the length) </w:t>
      </w:r>
      <w:r w:rsidRPr="00A27259">
        <w:t xml:space="preserve">instead of a single laser is useful for two considerations, firstly the length of the bar helps with </w:t>
      </w:r>
      <w:r w:rsidRPr="00A27259">
        <w:lastRenderedPageBreak/>
        <w:t xml:space="preserve">yaw angular alignment, but </w:t>
      </w:r>
      <w:r w:rsidR="000D1790">
        <w:t>more importantly</w:t>
      </w:r>
      <w:r w:rsidR="004069AB">
        <w:t>,</w:t>
      </w:r>
      <w:r w:rsidRPr="00A27259">
        <w:t xml:space="preserve"> this reduces the number of bonding alignments that </w:t>
      </w:r>
      <w:r w:rsidR="009152CD">
        <w:t>required for</w:t>
      </w:r>
      <w:r w:rsidRPr="00A27259">
        <w:t xml:space="preserve"> multiple sources.</w:t>
      </w:r>
      <w:r w:rsidR="009152CD">
        <w:t xml:space="preserve"> For example, g</w:t>
      </w:r>
      <w:r w:rsidRPr="00A27259">
        <w:t xml:space="preserve">ain material bonded in bars can potentially be used simultaneously as a detector in </w:t>
      </w:r>
      <w:r>
        <w:t>one part and as an emitter in an</w:t>
      </w:r>
      <w:r w:rsidRPr="00A27259">
        <w:t xml:space="preserve"> adjacent ridge if coupling can be achieved. Additionally multiple</w:t>
      </w:r>
      <w:r>
        <w:t xml:space="preserve"> lasers can be combined in the GOS circuit for either increased power or multiple</w:t>
      </w:r>
      <w:r w:rsidRPr="00A27259">
        <w:t xml:space="preserve"> wavelengths</w:t>
      </w:r>
      <w:r>
        <w:t xml:space="preserve"> [</w:t>
      </w:r>
      <w:r w:rsidR="00544718" w:rsidRPr="000D1790">
        <w:rPr>
          <w:u w:val="single"/>
        </w:rPr>
        <w:t>1</w:t>
      </w:r>
      <w:r w:rsidR="00C47435">
        <w:rPr>
          <w:u w:val="single"/>
        </w:rPr>
        <w:t>7*AWG</w:t>
      </w:r>
      <w:bookmarkStart w:id="0" w:name="_GoBack"/>
      <w:bookmarkEnd w:id="0"/>
      <w:r>
        <w:t xml:space="preserve">] </w:t>
      </w:r>
      <w:r w:rsidRPr="00A27259">
        <w:t xml:space="preserve">selected within the gain spectra using DFB </w:t>
      </w:r>
      <w:r w:rsidR="00EE4B32">
        <w:t>QCL arrays</w:t>
      </w:r>
      <w:r w:rsidR="00010EF0">
        <w:t xml:space="preserve"> such demonstrated for free space absorption</w:t>
      </w:r>
      <w:r w:rsidR="00EE4B32">
        <w:t xml:space="preserve"> [</w:t>
      </w:r>
      <w:r w:rsidR="00EE4B32" w:rsidRPr="003D1150">
        <w:rPr>
          <w:rStyle w:val="EndnoteReference"/>
          <w:vertAlign w:val="baseline"/>
        </w:rPr>
        <w:endnoteReference w:id="31"/>
      </w:r>
      <w:r w:rsidR="00EE4B32" w:rsidRPr="003D1150">
        <w:t>]</w:t>
      </w:r>
      <w:r w:rsidRPr="00A27259">
        <w:t xml:space="preserve">. </w:t>
      </w:r>
    </w:p>
    <w:p w14:paraId="16AACD89" w14:textId="77777777" w:rsidR="0054335B" w:rsidRDefault="0054335B" w:rsidP="0054335B">
      <w:pPr>
        <w:pStyle w:val="08SectionHeader1"/>
      </w:pPr>
      <w:r>
        <w:t>Chip design</w:t>
      </w:r>
    </w:p>
    <w:p w14:paraId="7B338292" w14:textId="0EA87E39" w:rsidR="00990C36" w:rsidRDefault="00993C47" w:rsidP="005233E0">
      <w:pPr>
        <w:pStyle w:val="09BodyFirstParagraph"/>
      </w:pPr>
      <w:r>
        <w:t xml:space="preserve">When a QCL is flip-chip bonded to the GOS substrate the mode of the laser is aligned to the mode of the waveguide for endfire coupling between the two as shown in Figure 1. </w:t>
      </w:r>
      <w:r w:rsidR="00990C36">
        <w:t xml:space="preserve">The measurement of facet-to-facet coupling (FTFC) at the interface of the QCL and the GOS requires a measurement or estimate of the power output of the laser facet in addition to the power in </w:t>
      </w:r>
      <w:r w:rsidR="009152CD">
        <w:t xml:space="preserve">the </w:t>
      </w:r>
      <w:r w:rsidR="00990C36">
        <w:t>waveguide. The QCL is a Fabry–Pérot (FP) laser and the outputs</w:t>
      </w:r>
      <w:r w:rsidR="000D1790">
        <w:t xml:space="preserve"> at either facet</w:t>
      </w:r>
      <w:r w:rsidR="00990C36">
        <w:t xml:space="preserve"> are assumed to be equal. Free-space measurements of both the uncoupled QCL facet and the waveguide output were taken</w:t>
      </w:r>
      <w:r w:rsidR="000D1790">
        <w:t xml:space="preserve">. This was </w:t>
      </w:r>
      <w:r>
        <w:t>achieved</w:t>
      </w:r>
      <w:r w:rsidR="00990C36">
        <w:t xml:space="preserve"> by dicing the </w:t>
      </w:r>
      <w:r>
        <w:t xml:space="preserve">GOS </w:t>
      </w:r>
      <w:r w:rsidR="00990C36">
        <w:t xml:space="preserve">chip to allow a very slight overhang of the QCL over </w:t>
      </w:r>
      <w:r>
        <w:t>the GOS</w:t>
      </w:r>
      <w:r w:rsidR="00990C36">
        <w:t xml:space="preserve">, whilst </w:t>
      </w:r>
      <w:r>
        <w:t xml:space="preserve">a self-polished ductile diced facet </w:t>
      </w:r>
      <w:r w:rsidRPr="003D1150">
        <w:t>[</w:t>
      </w:r>
      <w:r w:rsidRPr="003D1150">
        <w:rPr>
          <w:rStyle w:val="EndnoteReference"/>
          <w:vertAlign w:val="baseline"/>
        </w:rPr>
        <w:endnoteReference w:id="32"/>
      </w:r>
      <w:r>
        <w:t>] was used to provide the facet quality for measuring the waveguide output</w:t>
      </w:r>
      <w:r w:rsidR="00990C36">
        <w:t>.</w:t>
      </w:r>
    </w:p>
    <w:p w14:paraId="38C52726" w14:textId="45C6DF63" w:rsidR="00993C47" w:rsidRDefault="00E43421" w:rsidP="00993C47">
      <w:pPr>
        <w:pStyle w:val="11Figure"/>
      </w:pPr>
      <w:r>
        <w:rPr>
          <w:noProof/>
          <w:lang w:val="en-GB" w:eastAsia="en-GB"/>
        </w:rPr>
        <w:drawing>
          <wp:inline distT="0" distB="0" distL="0" distR="0" wp14:anchorId="15518CAE" wp14:editId="6F17EB9F">
            <wp:extent cx="2384582" cy="17462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84582" cy="1746250"/>
                    </a:xfrm>
                    <a:prstGeom prst="rect">
                      <a:avLst/>
                    </a:prstGeom>
                  </pic:spPr>
                </pic:pic>
              </a:graphicData>
            </a:graphic>
          </wp:inline>
        </w:drawing>
      </w:r>
      <w:r w:rsidR="00287B91">
        <w:t xml:space="preserve">                 </w:t>
      </w:r>
      <w:r w:rsidR="00287B91">
        <w:rPr>
          <w:noProof/>
          <w:lang w:val="en-GB" w:eastAsia="en-GB"/>
        </w:rPr>
        <w:drawing>
          <wp:inline distT="0" distB="0" distL="0" distR="0" wp14:anchorId="3EC0CF3C" wp14:editId="05DAF463">
            <wp:extent cx="1705695" cy="1363425"/>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5341" cy="1379129"/>
                    </a:xfrm>
                    <a:prstGeom prst="rect">
                      <a:avLst/>
                    </a:prstGeom>
                    <a:noFill/>
                  </pic:spPr>
                </pic:pic>
              </a:graphicData>
            </a:graphic>
          </wp:inline>
        </w:drawing>
      </w:r>
    </w:p>
    <w:p w14:paraId="7E7BA003" w14:textId="583F22BF" w:rsidR="00993C47" w:rsidRDefault="00993C47" w:rsidP="00993C47">
      <w:pPr>
        <w:pStyle w:val="12FigureCaptionShort"/>
      </w:pPr>
      <w:r>
        <w:t xml:space="preserve">Fig. 1. </w:t>
      </w:r>
      <w:r w:rsidR="00287B91">
        <w:t xml:space="preserve">(a) </w:t>
      </w:r>
      <w:r>
        <w:t>QCL flip-chip bonded to GOS.</w:t>
      </w:r>
      <w:r w:rsidR="00287B91">
        <w:t xml:space="preserve"> (b) QCL bars, GOS 6” wafer, for bonding.</w:t>
      </w:r>
    </w:p>
    <w:p w14:paraId="5F441DA4" w14:textId="68EFB9E4" w:rsidR="0054335B" w:rsidRDefault="0054335B" w:rsidP="0054335B">
      <w:pPr>
        <w:pStyle w:val="10BodySubsequentParagraph"/>
      </w:pPr>
      <w:r>
        <w:t>The</w:t>
      </w:r>
      <w:r w:rsidR="00993C47">
        <w:t xml:space="preserve"> input for the</w:t>
      </w:r>
      <w:r>
        <w:t xml:space="preserve"> germanium waveguide</w:t>
      </w:r>
      <w:r w:rsidR="00993C47">
        <w:t xml:space="preserve"> was</w:t>
      </w:r>
      <w:r w:rsidR="00287B91">
        <w:t xml:space="preserve"> a</w:t>
      </w:r>
      <w:r>
        <w:t xml:space="preserve"> taper</w:t>
      </w:r>
      <w:r w:rsidR="00287B91">
        <w:t xml:space="preserve"> with</w:t>
      </w:r>
      <w:r>
        <w:t xml:space="preserve"> an angle</w:t>
      </w:r>
      <w:r w:rsidR="00287B91">
        <w:t>d facet</w:t>
      </w:r>
      <w:r>
        <w:t xml:space="preserve"> of 10</w:t>
      </w:r>
      <w:r w:rsidRPr="002340AE">
        <w:rPr>
          <w:vertAlign w:val="superscript"/>
        </w:rPr>
        <w:t>o</w:t>
      </w:r>
      <w:r>
        <w:t xml:space="preserve"> to reduce reflection back into the laser</w:t>
      </w:r>
      <w:r w:rsidR="00287B91">
        <w:t>. The waveguide</w:t>
      </w:r>
      <w:r>
        <w:t xml:space="preserve"> ran across the germanium </w:t>
      </w:r>
      <w:r w:rsidR="003C5947">
        <w:t xml:space="preserve">top layer </w:t>
      </w:r>
      <w:r>
        <w:t xml:space="preserve">with two ninety degree bends to spatially separate the QCL output from the waveguide output. </w:t>
      </w:r>
      <w:r w:rsidRPr="00993C47">
        <w:t xml:space="preserve">Figure </w:t>
      </w:r>
      <w:r w:rsidR="00993C47" w:rsidRPr="00993C47">
        <w:t>1</w:t>
      </w:r>
      <w:r w:rsidRPr="00993C47">
        <w:t xml:space="preserve"> shows</w:t>
      </w:r>
      <w:r>
        <w:t xml:space="preserve"> the contact pad for the growth side of the QCL extending outside of the QCL such that it could be contacted with probes. </w:t>
      </w:r>
      <w:r w:rsidR="00B67A7C">
        <w:t>A</w:t>
      </w:r>
      <w:r>
        <w:t xml:space="preserve"> flat surface for the contact pad level from under the QCL </w:t>
      </w:r>
      <w:r w:rsidR="00287B91">
        <w:t>out to enable access for probes was</w:t>
      </w:r>
      <w:r>
        <w:t xml:space="preserve"> achieved </w:t>
      </w:r>
      <w:r w:rsidR="00287B91">
        <w:t>using</w:t>
      </w:r>
      <w:r w:rsidR="00B67A7C">
        <w:t xml:space="preserve"> </w:t>
      </w:r>
      <w:r>
        <w:t>two deep ICP-RIE etches</w:t>
      </w:r>
      <w:r w:rsidR="00B67A7C">
        <w:t>. T</w:t>
      </w:r>
      <w:r>
        <w:t>he first produce</w:t>
      </w:r>
      <w:r w:rsidR="00287B91">
        <w:t>d</w:t>
      </w:r>
      <w:r>
        <w:t xml:space="preserve"> the top of the support structures, the second </w:t>
      </w:r>
      <w:r w:rsidR="00287B91">
        <w:t xml:space="preserve">simultaneously </w:t>
      </w:r>
      <w:r>
        <w:t>form</w:t>
      </w:r>
      <w:r w:rsidR="00287B91">
        <w:t>ed</w:t>
      </w:r>
      <w:r>
        <w:t xml:space="preserve"> the support structure mesa</w:t>
      </w:r>
      <w:r w:rsidR="00B67A7C">
        <w:t xml:space="preserve"> sides</w:t>
      </w:r>
      <w:r>
        <w:t>, the flat metallisation level and the waveguide facet</w:t>
      </w:r>
      <w:r w:rsidR="00B67A7C">
        <w:t>,</w:t>
      </w:r>
      <w:r>
        <w:t xml:space="preserve"> whilst maintaining quality of the facet (Fig. </w:t>
      </w:r>
      <w:r w:rsidR="00287B91">
        <w:t>2</w:t>
      </w:r>
      <w:r>
        <w:t xml:space="preserve">). </w:t>
      </w:r>
    </w:p>
    <w:p w14:paraId="36E09701" w14:textId="77777777" w:rsidR="00287B91" w:rsidRDefault="00287B91" w:rsidP="00287B91">
      <w:pPr>
        <w:pStyle w:val="10BodySubsequentParagraph"/>
      </w:pPr>
      <w:r>
        <w:t xml:space="preserve">The chip design included a separate section for loss measurement structures to measure the propagation and bend losses in the waveguide and allow calculation of the interface FTFC. </w:t>
      </w:r>
    </w:p>
    <w:p w14:paraId="05FDC81D" w14:textId="4C54921C" w:rsidR="00CD0466" w:rsidRPr="00CD0466" w:rsidRDefault="0054335B" w:rsidP="00DC0A0F">
      <w:pPr>
        <w:pStyle w:val="08SectionHeader1"/>
      </w:pPr>
      <w:r>
        <w:t>Flip-chip i</w:t>
      </w:r>
      <w:r w:rsidR="00BF7ACB">
        <w:t xml:space="preserve">ntegration </w:t>
      </w:r>
      <w:r>
        <w:t>for MIR</w:t>
      </w:r>
    </w:p>
    <w:p w14:paraId="1B4F92D1" w14:textId="0ACA9D15" w:rsidR="00AB54AA" w:rsidRDefault="00FD2754" w:rsidP="009152CD">
      <w:pPr>
        <w:pStyle w:val="09BodyFirstParagraph"/>
      </w:pPr>
      <w:r>
        <w:t>The GOS platform is typically three micrometres thick</w:t>
      </w:r>
      <w:r w:rsidR="00D93F2E">
        <w:t xml:space="preserve"> [</w:t>
      </w:r>
      <w:r w:rsidR="00D93F2E" w:rsidRPr="00DA64E5">
        <w:rPr>
          <w:rStyle w:val="EndnoteReference"/>
          <w:vertAlign w:val="baseline"/>
        </w:rPr>
        <w:endnoteReference w:id="33"/>
      </w:r>
      <w:r w:rsidR="00D93F2E">
        <w:t xml:space="preserve">] </w:t>
      </w:r>
      <w:r w:rsidR="00654C4A">
        <w:t xml:space="preserve">to </w:t>
      </w:r>
      <w:r w:rsidR="00D93F2E">
        <w:t xml:space="preserve">separate and </w:t>
      </w:r>
      <w:r w:rsidR="00654C4A">
        <w:t>reduce losses</w:t>
      </w:r>
      <w:r w:rsidR="00D93F2E">
        <w:t xml:space="preserve"> the threading dislocations at the interface and the silicon itself</w:t>
      </w:r>
      <w:r>
        <w:t xml:space="preserve">. </w:t>
      </w:r>
      <w:r w:rsidR="00654C4A">
        <w:t xml:space="preserve">In order to achieve coupling between the QCL and the waveguide the modes must overlap and to allow for misalignment in this design the width of the waveguide is tapered out from 3 </w:t>
      </w:r>
      <w:r w:rsidR="00654C4A">
        <w:rPr>
          <w:rFonts w:cs="Times New Roman"/>
        </w:rPr>
        <w:t>µ</w:t>
      </w:r>
      <w:r w:rsidR="00654C4A">
        <w:t xml:space="preserve">m single mode waveguides (TM-mode) to 11 </w:t>
      </w:r>
      <w:r w:rsidR="00654C4A">
        <w:rPr>
          <w:rFonts w:cs="Times New Roman"/>
        </w:rPr>
        <w:t>µ</w:t>
      </w:r>
      <w:r w:rsidR="00654C4A">
        <w:t xml:space="preserve">m wide. These </w:t>
      </w:r>
      <w:r>
        <w:t xml:space="preserve">tapers do not address the vertical mode size that is controlled by </w:t>
      </w:r>
      <w:r w:rsidR="009152CD">
        <w:t xml:space="preserve">the </w:t>
      </w:r>
      <w:r>
        <w:t>thickness of the material</w:t>
      </w:r>
      <w:r w:rsidR="00654C4A">
        <w:t xml:space="preserve">. </w:t>
      </w:r>
      <w:r>
        <w:t>Considering the size of the mode from the QCL and the size of the mode in a</w:t>
      </w:r>
      <w:r w:rsidR="00D93F2E">
        <w:t xml:space="preserve"> tapered</w:t>
      </w:r>
      <w:r>
        <w:t xml:space="preserve"> GOS waveguide there is a far better mode overlap than could be obtained from </w:t>
      </w:r>
      <w:r w:rsidR="004069AB">
        <w:t xml:space="preserve">an </w:t>
      </w:r>
      <w:r>
        <w:t xml:space="preserve">SOI waveguide (typically ~200 nm overlay of silicon) at communications wavelengths </w:t>
      </w:r>
      <w:r>
        <w:lastRenderedPageBreak/>
        <w:t xml:space="preserve">where spot-size-converters or inverse tapers can be used to address this issue. In the </w:t>
      </w:r>
      <w:r w:rsidR="00DB13E8">
        <w:t>MIR</w:t>
      </w:r>
      <w:r>
        <w:t xml:space="preserve"> case</w:t>
      </w:r>
      <w:r w:rsidR="004069AB">
        <w:t>,</w:t>
      </w:r>
      <w:r>
        <w:t xml:space="preserve"> the mode overlap suggests that </w:t>
      </w:r>
      <w:r w:rsidR="00522DF1">
        <w:t xml:space="preserve">3D </w:t>
      </w:r>
      <w:r>
        <w:t>spot size converters are not required in order to achieve reasonable c</w:t>
      </w:r>
      <w:r w:rsidR="00AB54AA">
        <w:t xml:space="preserve">oupling via tapered waveguides. </w:t>
      </w:r>
      <w:r>
        <w:t>However</w:t>
      </w:r>
      <w:r w:rsidR="004069AB">
        <w:t>,</w:t>
      </w:r>
      <w:r>
        <w:t xml:space="preserve"> this does increase the need for accurate vertical alignment in the approach employed. </w:t>
      </w:r>
    </w:p>
    <w:p w14:paraId="489A47A7" w14:textId="3185DAD7" w:rsidR="004A6CE1" w:rsidRDefault="00834FCA" w:rsidP="004A6CE1">
      <w:pPr>
        <w:pStyle w:val="11Figure"/>
      </w:pPr>
      <w:r w:rsidRPr="00C47A18">
        <w:rPr>
          <w:noProof/>
          <w:lang w:val="en-GB" w:eastAsia="en-GB"/>
        </w:rPr>
        <mc:AlternateContent>
          <mc:Choice Requires="wps">
            <w:drawing>
              <wp:anchor distT="45720" distB="45720" distL="114300" distR="114300" simplePos="0" relativeHeight="251659264" behindDoc="0" locked="0" layoutInCell="1" allowOverlap="1" wp14:anchorId="62E45EC8" wp14:editId="6D94E2B8">
                <wp:simplePos x="0" y="0"/>
                <wp:positionH relativeFrom="column">
                  <wp:posOffset>1900555</wp:posOffset>
                </wp:positionH>
                <wp:positionV relativeFrom="paragraph">
                  <wp:posOffset>528320</wp:posOffset>
                </wp:positionV>
                <wp:extent cx="1021080" cy="140462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404620"/>
                        </a:xfrm>
                        <a:prstGeom prst="rect">
                          <a:avLst/>
                        </a:prstGeom>
                        <a:noFill/>
                        <a:ln w="9525">
                          <a:noFill/>
                          <a:miter lim="800000"/>
                          <a:headEnd/>
                          <a:tailEnd/>
                        </a:ln>
                      </wps:spPr>
                      <wps:txbx>
                        <w:txbxContent>
                          <w:p w14:paraId="152B5571" w14:textId="77293269" w:rsidR="004A6CE1" w:rsidRPr="00792930" w:rsidRDefault="004A6CE1" w:rsidP="004A6CE1">
                            <w:pPr>
                              <w:rPr>
                                <w:b/>
                              </w:rPr>
                            </w:pPr>
                            <w:r w:rsidRPr="00792930">
                              <w:rPr>
                                <w:b/>
                              </w:rPr>
                              <w:t>Ge</w:t>
                            </w:r>
                            <w:r w:rsidR="00834FCA">
                              <w:rPr>
                                <w:b/>
                              </w:rPr>
                              <w:t xml:space="preserve"> (3 </w:t>
                            </w:r>
                            <w:r w:rsidR="00834FCA">
                              <w:rPr>
                                <w:rFonts w:cstheme="minorHAnsi"/>
                                <w:b/>
                              </w:rPr>
                              <w:t>µ</w:t>
                            </w:r>
                            <w:r w:rsidR="00834FCA">
                              <w:rPr>
                                <w:b/>
                              </w:rPr>
                              <w:t>m)</w:t>
                            </w:r>
                          </w:p>
                          <w:p w14:paraId="3A797E82" w14:textId="77777777" w:rsidR="004A6CE1" w:rsidRPr="00792930" w:rsidRDefault="004A6CE1" w:rsidP="004A6CE1">
                            <w:pPr>
                              <w:rPr>
                                <w:b/>
                              </w:rPr>
                            </w:pPr>
                          </w:p>
                          <w:p w14:paraId="61F70C61" w14:textId="77777777" w:rsidR="004A6CE1" w:rsidRPr="00792930" w:rsidRDefault="004A6CE1" w:rsidP="004A6CE1">
                            <w:pPr>
                              <w:rPr>
                                <w:b/>
                              </w:rPr>
                            </w:pPr>
                          </w:p>
                          <w:p w14:paraId="5DA2C632" w14:textId="77777777" w:rsidR="004A6CE1" w:rsidRPr="00792930" w:rsidRDefault="004A6CE1" w:rsidP="004A6CE1">
                            <w:pPr>
                              <w:rPr>
                                <w:b/>
                                <w:color w:val="FFFFFF" w:themeColor="background1"/>
                              </w:rPr>
                            </w:pPr>
                            <w:r w:rsidRPr="00792930">
                              <w:rPr>
                                <w:b/>
                                <w:color w:val="FFFFFF" w:themeColor="background1"/>
                              </w:rPr>
                              <w:t>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E45EC8" id="_x0000_t202" coordsize="21600,21600" o:spt="202" path="m,l,21600r21600,l21600,xe">
                <v:stroke joinstyle="miter"/>
                <v:path gradientshapeok="t" o:connecttype="rect"/>
              </v:shapetype>
              <v:shape id="Text Box 2" o:spid="_x0000_s1026" type="#_x0000_t202" style="position:absolute;left:0;text-align:left;margin-left:149.65pt;margin-top:41.6pt;width:80.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" filled="f" stroked="f">
                <v:textbox style="mso-fit-shape-to-text:t">
                  <w:txbxContent>
                    <w:p w14:paraId="152B5571" w14:textId="77293269" w:rsidR="004A6CE1" w:rsidRPr="00792930" w:rsidRDefault="004A6CE1" w:rsidP="004A6CE1">
                      <w:pPr>
                        <w:rPr>
                          <w:b/>
                        </w:rPr>
                      </w:pPr>
                      <w:r w:rsidRPr="00792930">
                        <w:rPr>
                          <w:b/>
                        </w:rPr>
                        <w:t>Ge</w:t>
                      </w:r>
                      <w:r w:rsidR="00834FCA">
                        <w:rPr>
                          <w:b/>
                        </w:rPr>
                        <w:t xml:space="preserve"> (3 </w:t>
                      </w:r>
                      <w:r w:rsidR="00834FCA">
                        <w:rPr>
                          <w:rFonts w:cstheme="minorHAnsi"/>
                          <w:b/>
                        </w:rPr>
                        <w:t>µ</w:t>
                      </w:r>
                      <w:r w:rsidR="00834FCA">
                        <w:rPr>
                          <w:b/>
                        </w:rPr>
                        <w:t>m)</w:t>
                      </w:r>
                    </w:p>
                    <w:p w14:paraId="3A797E82" w14:textId="77777777" w:rsidR="004A6CE1" w:rsidRPr="00792930" w:rsidRDefault="004A6CE1" w:rsidP="004A6CE1">
                      <w:pPr>
                        <w:rPr>
                          <w:b/>
                        </w:rPr>
                      </w:pPr>
                    </w:p>
                    <w:p w14:paraId="61F70C61" w14:textId="77777777" w:rsidR="004A6CE1" w:rsidRPr="00792930" w:rsidRDefault="004A6CE1" w:rsidP="004A6CE1">
                      <w:pPr>
                        <w:rPr>
                          <w:b/>
                        </w:rPr>
                      </w:pPr>
                    </w:p>
                    <w:p w14:paraId="5DA2C632" w14:textId="77777777" w:rsidR="004A6CE1" w:rsidRPr="00792930" w:rsidRDefault="004A6CE1" w:rsidP="004A6CE1">
                      <w:pPr>
                        <w:rPr>
                          <w:b/>
                          <w:color w:val="FFFFFF" w:themeColor="background1"/>
                        </w:rPr>
                      </w:pPr>
                      <w:r w:rsidRPr="00792930">
                        <w:rPr>
                          <w:b/>
                          <w:color w:val="FFFFFF" w:themeColor="background1"/>
                        </w:rPr>
                        <w:t>Si</w:t>
                      </w:r>
                    </w:p>
                  </w:txbxContent>
                </v:textbox>
              </v:shape>
            </w:pict>
          </mc:Fallback>
        </mc:AlternateContent>
      </w:r>
      <w:r w:rsidR="004A6CE1" w:rsidRPr="00C47A18">
        <w:rPr>
          <w:noProof/>
          <w:lang w:val="en-GB" w:eastAsia="en-GB"/>
        </w:rPr>
        <mc:AlternateContent>
          <mc:Choice Requires="wps">
            <w:drawing>
              <wp:anchor distT="45720" distB="45720" distL="114300" distR="114300" simplePos="0" relativeHeight="251660288" behindDoc="0" locked="0" layoutInCell="1" allowOverlap="1" wp14:anchorId="76705A40" wp14:editId="54EA9E77">
                <wp:simplePos x="0" y="0"/>
                <wp:positionH relativeFrom="column">
                  <wp:posOffset>2799715</wp:posOffset>
                </wp:positionH>
                <wp:positionV relativeFrom="paragraph">
                  <wp:posOffset>68580</wp:posOffset>
                </wp:positionV>
                <wp:extent cx="88392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404620"/>
                        </a:xfrm>
                        <a:prstGeom prst="rect">
                          <a:avLst/>
                        </a:prstGeom>
                        <a:noFill/>
                        <a:ln w="9525">
                          <a:noFill/>
                          <a:miter lim="800000"/>
                          <a:headEnd/>
                          <a:tailEnd/>
                        </a:ln>
                      </wps:spPr>
                      <wps:txbx>
                        <w:txbxContent>
                          <w:p w14:paraId="3139E5A2" w14:textId="77777777" w:rsidR="004A6CE1" w:rsidRPr="00792930" w:rsidRDefault="004A6CE1" w:rsidP="004A6CE1">
                            <w:pPr>
                              <w:rPr>
                                <w:b/>
                              </w:rPr>
                            </w:pPr>
                            <w:r>
                              <w:rPr>
                                <w:b/>
                              </w:rPr>
                              <w:t>Waveguide Facet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705A40" id="_x0000_s1027" type="#_x0000_t202" style="position:absolute;left:0;text-align:left;margin-left:220.45pt;margin-top:5.4pt;width:69.6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" filled="f" stroked="f">
                <v:textbox style="mso-fit-shape-to-text:t">
                  <w:txbxContent>
                    <w:p w14:paraId="3139E5A2" w14:textId="77777777" w:rsidR="004A6CE1" w:rsidRPr="00792930" w:rsidRDefault="004A6CE1" w:rsidP="004A6CE1">
                      <w:pPr>
                        <w:rPr>
                          <w:b/>
                        </w:rPr>
                      </w:pPr>
                      <w:r>
                        <w:rPr>
                          <w:b/>
                        </w:rPr>
                        <w:t>Waveguide Facet</w:t>
                      </w:r>
                    </w:p>
                  </w:txbxContent>
                </v:textbox>
              </v:shape>
            </w:pict>
          </mc:Fallback>
        </mc:AlternateContent>
      </w:r>
      <w:r w:rsidR="004A6CE1">
        <w:rPr>
          <w:noProof/>
          <w:lang w:val="en-GB" w:eastAsia="en-GB"/>
        </w:rPr>
        <w:drawing>
          <wp:inline distT="0" distB="0" distL="0" distR="0" wp14:anchorId="369F0586" wp14:editId="0DA3B748">
            <wp:extent cx="2438400" cy="218732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46914" cy="2194959"/>
                    </a:xfrm>
                    <a:prstGeom prst="rect">
                      <a:avLst/>
                    </a:prstGeom>
                  </pic:spPr>
                </pic:pic>
              </a:graphicData>
            </a:graphic>
          </wp:inline>
        </w:drawing>
      </w:r>
      <w:r w:rsidR="004A6CE1">
        <w:t xml:space="preserve">       </w:t>
      </w:r>
    </w:p>
    <w:p w14:paraId="61BBA330" w14:textId="65EEDBF6" w:rsidR="004A6CE1" w:rsidRPr="0054335B" w:rsidRDefault="004A6CE1" w:rsidP="004A6CE1">
      <w:pPr>
        <w:pStyle w:val="12FigureCaptionShort"/>
      </w:pPr>
      <w:r>
        <w:t xml:space="preserve">Fig. 2. FIB cross section of </w:t>
      </w:r>
      <w:r w:rsidR="00834FCA">
        <w:t xml:space="preserve">deep </w:t>
      </w:r>
      <w:r>
        <w:t>vertical</w:t>
      </w:r>
      <w:r w:rsidR="00834FCA">
        <w:t xml:space="preserve"> ICP</w:t>
      </w:r>
      <w:r>
        <w:t xml:space="preserve"> waveguide facet etch.</w:t>
      </w:r>
    </w:p>
    <w:p w14:paraId="084EF8DD" w14:textId="16447281" w:rsidR="00395AD1" w:rsidRDefault="008A045B" w:rsidP="004F4789">
      <w:pPr>
        <w:pStyle w:val="10BodySubsequentParagraph"/>
      </w:pPr>
      <w:r>
        <w:t xml:space="preserve">Flip-chip bonding tools produce very accurate placement in the plane of the chip interface. </w:t>
      </w:r>
      <w:r w:rsidR="00466160">
        <w:t xml:space="preserve">The FineTech Fineplacer® Lambda bonding tool used </w:t>
      </w:r>
      <w:r w:rsidR="00FD13E7">
        <w:t xml:space="preserve">has demonstrated </w:t>
      </w:r>
      <w:r w:rsidR="00466160">
        <w:t xml:space="preserve">alignment </w:t>
      </w:r>
      <w:r w:rsidR="00FD13E7">
        <w:t xml:space="preserve">accuracy </w:t>
      </w:r>
      <w:r w:rsidR="00F71868">
        <w:t>of</w:t>
      </w:r>
      <w:r w:rsidR="00FD13E7">
        <w:t xml:space="preserve"> 0.5 </w:t>
      </w:r>
      <w:r w:rsidR="00FD13E7">
        <w:rPr>
          <w:rFonts w:cs="Times New Roman"/>
        </w:rPr>
        <w:t>µ</w:t>
      </w:r>
      <w:r w:rsidR="00FD13E7">
        <w:t>m</w:t>
      </w:r>
      <w:r w:rsidR="00F71868">
        <w:t xml:space="preserve"> and below</w:t>
      </w:r>
      <w:r w:rsidR="00AB54AA">
        <w:t xml:space="preserve">. </w:t>
      </w:r>
      <w:r>
        <w:t xml:space="preserve">Automated tools with higher precision are available to the market demonstrating a route for scaling the process to industry. </w:t>
      </w:r>
      <w:r w:rsidR="00FD13E7">
        <w:t>A</w:t>
      </w:r>
      <w:r w:rsidR="00AB54AA">
        <w:t xml:space="preserve">lignment is </w:t>
      </w:r>
      <w:r w:rsidR="00FD13E7">
        <w:t>made</w:t>
      </w:r>
      <w:r w:rsidR="00AB54AA">
        <w:t xml:space="preserve"> via an overlay image</w:t>
      </w:r>
      <w:r w:rsidRPr="008A045B">
        <w:t xml:space="preserve"> </w:t>
      </w:r>
      <w:r>
        <w:t>provided by the use of a beam splitter</w:t>
      </w:r>
      <w:r w:rsidR="00FD13E7">
        <w:t xml:space="preserve"> in this case</w:t>
      </w:r>
      <w:r>
        <w:t>. This gives the image</w:t>
      </w:r>
      <w:r w:rsidR="00AB54AA">
        <w:t xml:space="preserve"> o</w:t>
      </w:r>
      <w:r w:rsidR="00466160">
        <w:t>f both the laser, and</w:t>
      </w:r>
      <w:r w:rsidR="00AB54AA">
        <w:t xml:space="preserve"> the target placement site on </w:t>
      </w:r>
      <w:r w:rsidR="00FD13E7">
        <w:t>GOS</w:t>
      </w:r>
      <w:r w:rsidR="00466160">
        <w:t>.</w:t>
      </w:r>
      <w:r>
        <w:t xml:space="preserve"> </w:t>
      </w:r>
    </w:p>
    <w:p w14:paraId="063ABCFD" w14:textId="282A17D1" w:rsidR="00395AD1" w:rsidRDefault="00395AD1" w:rsidP="00395AD1">
      <w:pPr>
        <w:pStyle w:val="10BodySubsequentParagraph"/>
      </w:pPr>
      <w:r w:rsidRPr="00395AD1">
        <w:t xml:space="preserve">The </w:t>
      </w:r>
      <w:r w:rsidR="00E96BEC">
        <w:t>rotational alignment</w:t>
      </w:r>
      <w:r w:rsidRPr="00395AD1">
        <w:t xml:space="preserve"> </w:t>
      </w:r>
      <w:r w:rsidR="00E96BEC">
        <w:t xml:space="preserve">accuracy </w:t>
      </w:r>
      <w:r w:rsidR="00F0177A">
        <w:t xml:space="preserve">is particularly important for </w:t>
      </w:r>
      <w:r w:rsidR="004F4789">
        <w:t>the laser bars used in this work</w:t>
      </w:r>
      <w:r w:rsidR="00E96BEC">
        <w:t xml:space="preserve">. The </w:t>
      </w:r>
      <w:r w:rsidR="00FD13E7">
        <w:t xml:space="preserve">alignment </w:t>
      </w:r>
      <w:r w:rsidR="007640DC">
        <w:t xml:space="preserve">viewing </w:t>
      </w:r>
      <w:r w:rsidR="00E96BEC">
        <w:t xml:space="preserve">optics </w:t>
      </w:r>
      <w:r w:rsidR="00FD13E7">
        <w:t xml:space="preserve">can be moved </w:t>
      </w:r>
      <w:r w:rsidR="007640DC">
        <w:t xml:space="preserve">across the beam splitter and </w:t>
      </w:r>
      <w:r w:rsidR="00FD13E7">
        <w:t>in the long direction of</w:t>
      </w:r>
      <w:r w:rsidRPr="00395AD1">
        <w:t xml:space="preserve"> the laser bar edge. This enables the extremes of the chip to be viewed and aligned for x-y in the same way as a photolithography to</w:t>
      </w:r>
      <w:r w:rsidR="00E96BEC">
        <w:t>ol and so accounts for any rotational misalignment.</w:t>
      </w:r>
    </w:p>
    <w:p w14:paraId="542435A7" w14:textId="326E555B" w:rsidR="00E96BEC" w:rsidRDefault="00F0177A" w:rsidP="00395AD1">
      <w:pPr>
        <w:pStyle w:val="10BodySubsequentParagraph"/>
      </w:pPr>
      <w:r>
        <w:t>The vertical alignment is provided by the use of an etched support structure in</w:t>
      </w:r>
      <w:r w:rsidR="00E96BEC">
        <w:t xml:space="preserve"> the germanium chip</w:t>
      </w:r>
      <w:r w:rsidR="00D828CD">
        <w:t xml:space="preserve"> (Figure 3)</w:t>
      </w:r>
      <w:r w:rsidR="00E96BEC">
        <w:t>, which</w:t>
      </w:r>
      <w:r>
        <w:t xml:space="preserve"> contact</w:t>
      </w:r>
      <w:r w:rsidR="00E96BEC">
        <w:t>s</w:t>
      </w:r>
      <w:r>
        <w:t xml:space="preserve"> w</w:t>
      </w:r>
      <w:r w:rsidR="00E96BEC">
        <w:t>ith unprocessed laser surfaces on the laser bar</w:t>
      </w:r>
      <w:r>
        <w:t xml:space="preserve">. </w:t>
      </w:r>
      <w:r w:rsidR="00FD13E7">
        <w:t>A</w:t>
      </w:r>
      <w:r>
        <w:t xml:space="preserve"> single-axis gimballed placement tool </w:t>
      </w:r>
      <w:r w:rsidR="000112C0">
        <w:t>provided</w:t>
      </w:r>
      <w:r w:rsidR="007640DC">
        <w:t xml:space="preserve"> rotation </w:t>
      </w:r>
      <w:r>
        <w:t xml:space="preserve">in the long direction of the laser bar, with the </w:t>
      </w:r>
      <w:r w:rsidR="007640DC">
        <w:t>short</w:t>
      </w:r>
      <w:r w:rsidR="000112C0">
        <w:t xml:space="preserve"> dimension angle</w:t>
      </w:r>
      <w:r>
        <w:t xml:space="preserve"> adjusted manually </w:t>
      </w:r>
      <w:r w:rsidR="000112C0">
        <w:t>whilst viewing the</w:t>
      </w:r>
      <w:r>
        <w:t xml:space="preserve"> </w:t>
      </w:r>
      <w:r w:rsidR="000112C0">
        <w:t>interface</w:t>
      </w:r>
      <w:r>
        <w:t xml:space="preserve"> </w:t>
      </w:r>
      <w:r w:rsidR="000112C0">
        <w:t>with</w:t>
      </w:r>
      <w:r>
        <w:t xml:space="preserve"> </w:t>
      </w:r>
      <w:r w:rsidR="000112C0">
        <w:t>a</w:t>
      </w:r>
      <w:r>
        <w:t xml:space="preserve"> camera</w:t>
      </w:r>
      <w:r w:rsidR="00FD13E7">
        <w:t xml:space="preserve">. In this way the two chips are kept parallel. </w:t>
      </w:r>
    </w:p>
    <w:p w14:paraId="0C2B1BAB" w14:textId="77777777" w:rsidR="00E96BEC" w:rsidRDefault="00E96BEC" w:rsidP="00E96BEC">
      <w:pPr>
        <w:pStyle w:val="11Figure"/>
      </w:pPr>
      <w:r>
        <w:rPr>
          <w:noProof/>
          <w:lang w:val="en-GB" w:eastAsia="en-GB"/>
        </w:rPr>
        <w:drawing>
          <wp:inline distT="0" distB="0" distL="0" distR="0" wp14:anchorId="2BF89279" wp14:editId="7A180365">
            <wp:extent cx="3141345" cy="1451093"/>
            <wp:effectExtent l="0" t="0" r="190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4658" cy="1461862"/>
                    </a:xfrm>
                    <a:prstGeom prst="rect">
                      <a:avLst/>
                    </a:prstGeom>
                    <a:noFill/>
                  </pic:spPr>
                </pic:pic>
              </a:graphicData>
            </a:graphic>
          </wp:inline>
        </w:drawing>
      </w:r>
    </w:p>
    <w:p w14:paraId="6CD113FC" w14:textId="0898378E" w:rsidR="00E96BEC" w:rsidRDefault="00E96BEC" w:rsidP="00E96BEC">
      <w:pPr>
        <w:pStyle w:val="12FigureCaptionShort"/>
      </w:pPr>
      <w:r>
        <w:t xml:space="preserve">Fig. </w:t>
      </w:r>
      <w:r w:rsidR="00D828CD">
        <w:t>3</w:t>
      </w:r>
      <w:r>
        <w:t>. Facet-to-facet alignment with support structure.</w:t>
      </w:r>
    </w:p>
    <w:p w14:paraId="3F29000D" w14:textId="439C4B94" w:rsidR="00A84643" w:rsidRPr="00F71868" w:rsidRDefault="00D828CD" w:rsidP="00F71868">
      <w:pPr>
        <w:pStyle w:val="10BodySubsequentParagraph"/>
      </w:pPr>
      <w:r>
        <w:t>When in position, the</w:t>
      </w:r>
      <w:r w:rsidR="000E0FAC">
        <w:t xml:space="preserve"> gap for solder between the two sets of bond pads</w:t>
      </w:r>
      <w:r w:rsidR="000E0FAC" w:rsidRPr="00136427">
        <w:t xml:space="preserve"> </w:t>
      </w:r>
      <w:r w:rsidR="004069AB">
        <w:t xml:space="preserve">is </w:t>
      </w:r>
      <w:r w:rsidR="000E0FAC">
        <w:t xml:space="preserve">defined by the etch depth to the contact level on the GOS and the thickness of the contact pads. </w:t>
      </w:r>
      <w:r>
        <w:t>Gold-tin so</w:t>
      </w:r>
      <w:r w:rsidR="000E0FAC">
        <w:t>lder</w:t>
      </w:r>
      <w:r>
        <w:t xml:space="preserve"> </w:t>
      </w:r>
      <w:r>
        <w:lastRenderedPageBreak/>
        <w:t>thicker than this gap</w:t>
      </w:r>
      <w:r w:rsidRPr="00D828CD">
        <w:t xml:space="preserve"> </w:t>
      </w:r>
      <w:r>
        <w:t>was</w:t>
      </w:r>
      <w:r w:rsidRPr="00E0037E">
        <w:t xml:space="preserve"> e-beam evaporated and patterned with conventional lithography and lift-off</w:t>
      </w:r>
      <w:r>
        <w:t>. Using the solder in molten phase</w:t>
      </w:r>
      <w:r w:rsidR="000E0FAC">
        <w:t xml:space="preserve"> allowed for the flat placement of the QCL to the GOS </w:t>
      </w:r>
      <w:r>
        <w:t xml:space="preserve">support structure, </w:t>
      </w:r>
      <w:r w:rsidR="000E0FAC">
        <w:t>whilst giving reliable Ohmic contacts. The gold-tin</w:t>
      </w:r>
      <w:r w:rsidR="00BF7ACB">
        <w:t xml:space="preserve"> solder had a composition of 25 wt% tin giving a eutectic melting point of around 290</w:t>
      </w:r>
      <w:r w:rsidR="00BF7ACB" w:rsidRPr="005E6A35">
        <w:rPr>
          <w:vertAlign w:val="superscript"/>
        </w:rPr>
        <w:t>o</w:t>
      </w:r>
      <w:r w:rsidR="00BF7ACB">
        <w:t>C [</w:t>
      </w:r>
      <w:r w:rsidR="00F71868" w:rsidRPr="003D1150">
        <w:rPr>
          <w:rStyle w:val="EndnoteReference"/>
          <w:rFonts w:cs="Times New Roman"/>
          <w:szCs w:val="20"/>
          <w:vertAlign w:val="baseline"/>
        </w:rPr>
        <w:endnoteReference w:id="34"/>
      </w:r>
      <w:r w:rsidR="00F71868" w:rsidRPr="003D1150">
        <w:t>]</w:t>
      </w:r>
      <w:r w:rsidR="00E0037E" w:rsidRPr="00E0037E">
        <w:t>.</w:t>
      </w:r>
      <w:r w:rsidR="00776233">
        <w:t xml:space="preserve"> This elevated temperature will provide a thermal expansion mismatch between the components, which will be frozen in place as the solder solidifies adding strain to the laser</w:t>
      </w:r>
      <w:r w:rsidR="00E373ED">
        <w:t xml:space="preserve"> and potential misalignment.</w:t>
      </w:r>
      <w:r w:rsidR="00776233">
        <w:t xml:space="preserve"> </w:t>
      </w:r>
      <w:r w:rsidR="00E0037E" w:rsidRPr="00E0037E">
        <w:t xml:space="preserve">  </w:t>
      </w:r>
    </w:p>
    <w:p w14:paraId="6297DB57" w14:textId="77777777" w:rsidR="00373756" w:rsidRDefault="00373756" w:rsidP="00373756">
      <w:pPr>
        <w:pStyle w:val="08SectionHeader1"/>
      </w:pPr>
      <w:r>
        <w:t>QCL design</w:t>
      </w:r>
    </w:p>
    <w:p w14:paraId="76C682C7" w14:textId="38DE1BAF" w:rsidR="00373756" w:rsidRDefault="00373756" w:rsidP="00373756">
      <w:pPr>
        <w:pStyle w:val="09BodyFirstParagraph"/>
      </w:pPr>
      <w:r w:rsidRPr="00801889">
        <w:rPr>
          <w:highlight w:val="lightGray"/>
        </w:rPr>
        <w:t>Longqi/Kris. Design and refs.</w:t>
      </w:r>
      <w:r>
        <w:rPr>
          <w:highlight w:val="lightGray"/>
        </w:rPr>
        <w:t xml:space="preserve"> No high divergent fast axis – helps with vertical alignment.</w:t>
      </w:r>
      <w:r w:rsidRPr="00801889">
        <w:rPr>
          <w:highlight w:val="lightGray"/>
        </w:rPr>
        <w:t xml:space="preserve"> CW operation with correct heat sink, bare epi for support structures as above, widths and single mode, depth of etch / etch profile, gold plating</w:t>
      </w:r>
    </w:p>
    <w:p w14:paraId="5308B6A3" w14:textId="77777777" w:rsidR="00D828CD" w:rsidRDefault="003E45AD" w:rsidP="00D828CD">
      <w:pPr>
        <w:pStyle w:val="10BodySubsequentParagraph"/>
        <w:numPr>
          <w:ilvl w:val="0"/>
          <w:numId w:val="25"/>
        </w:numPr>
      </w:pPr>
      <w:r>
        <w:t>Power and length</w:t>
      </w:r>
      <w:r w:rsidR="0026592B">
        <w:t xml:space="preserve"> </w:t>
      </w:r>
      <w:r>
        <w:t xml:space="preserve">, </w:t>
      </w:r>
    </w:p>
    <w:p w14:paraId="3BD8E171" w14:textId="43F2C1FC" w:rsidR="003E45AD" w:rsidRPr="003E45AD" w:rsidRDefault="003E45AD" w:rsidP="00D828CD">
      <w:pPr>
        <w:pStyle w:val="10BodySubsequentParagraph"/>
        <w:numPr>
          <w:ilvl w:val="0"/>
          <w:numId w:val="25"/>
        </w:numPr>
      </w:pPr>
      <w:r>
        <w:t xml:space="preserve">beam fast-slow axis divergence, </w:t>
      </w:r>
    </w:p>
    <w:p w14:paraId="3893F4E5" w14:textId="77777777" w:rsidR="00373756" w:rsidRDefault="00373756" w:rsidP="00373756">
      <w:pPr>
        <w:pStyle w:val="10BodySubsequentParagraph"/>
      </w:pPr>
    </w:p>
    <w:p w14:paraId="2C68D408" w14:textId="0745FC2C" w:rsidR="00373756" w:rsidRDefault="00B54D5F" w:rsidP="00076224">
      <w:pPr>
        <w:pStyle w:val="10BodySubsequentParagraph"/>
      </w:pPr>
      <w:r w:rsidRPr="00DA64E5">
        <w:rPr>
          <w:highlight w:val="yellow"/>
        </w:rPr>
        <w:t>Maximum 1 page</w:t>
      </w:r>
      <w:r w:rsidR="00F777CF">
        <w:t xml:space="preserve"> </w:t>
      </w:r>
      <w:r w:rsidR="0054335B">
        <w:t xml:space="preserve"> </w:t>
      </w:r>
    </w:p>
    <w:p w14:paraId="12AC822B" w14:textId="77777777" w:rsidR="0038375D" w:rsidRPr="00076224" w:rsidRDefault="0038375D" w:rsidP="00076224">
      <w:pPr>
        <w:pStyle w:val="10BodySubsequentParagraph"/>
      </w:pPr>
    </w:p>
    <w:p w14:paraId="258EAA5C" w14:textId="6451EBED" w:rsidR="003A256A" w:rsidRPr="00D15BBB" w:rsidRDefault="003A256A" w:rsidP="003A256A">
      <w:pPr>
        <w:pStyle w:val="08SectionHeader1"/>
      </w:pPr>
      <w:r w:rsidRPr="00D15BBB">
        <w:t xml:space="preserve">Coupling measurements </w:t>
      </w:r>
    </w:p>
    <w:p w14:paraId="2E10A2A4" w14:textId="6C6A2E7B" w:rsidR="00673D33" w:rsidRDefault="00673D33" w:rsidP="003A256A">
      <w:pPr>
        <w:pStyle w:val="09BodyFirstParagraph"/>
      </w:pPr>
      <w:r>
        <w:t xml:space="preserve">Initial indications of coupling were derived from imaging of a waveguide facet with the integrated QCL operating in pulse mode on a water cooled stage </w:t>
      </w:r>
      <w:r w:rsidR="0038375D">
        <w:t>(Figure 4)</w:t>
      </w:r>
      <w:r>
        <w:t>.</w:t>
      </w:r>
    </w:p>
    <w:p w14:paraId="4B4E08EA" w14:textId="77777777" w:rsidR="00673D33" w:rsidRDefault="00673D33" w:rsidP="00673D33">
      <w:pPr>
        <w:pStyle w:val="11Figure"/>
      </w:pPr>
      <w:r w:rsidRPr="008B21F5">
        <w:rPr>
          <w:noProof/>
          <w:lang w:val="en-GB" w:eastAsia="en-GB"/>
        </w:rPr>
        <w:drawing>
          <wp:inline distT="0" distB="0" distL="0" distR="0" wp14:anchorId="4C977F57" wp14:editId="6AFD0744">
            <wp:extent cx="3076555" cy="1408412"/>
            <wp:effectExtent l="0" t="0" r="0" b="1905"/>
            <wp:docPr id="2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7"/>
                    <pic:cNvPicPr>
                      <a:picLocks noChangeAspect="1"/>
                    </pic:cNvPicPr>
                  </pic:nvPicPr>
                  <pic:blipFill>
                    <a:blip r:embed="rId12"/>
                    <a:stretch>
                      <a:fillRect/>
                    </a:stretch>
                  </pic:blipFill>
                  <pic:spPr>
                    <a:xfrm>
                      <a:off x="0" y="0"/>
                      <a:ext cx="3088194" cy="1413740"/>
                    </a:xfrm>
                    <a:prstGeom prst="rect">
                      <a:avLst/>
                    </a:prstGeom>
                  </pic:spPr>
                </pic:pic>
              </a:graphicData>
            </a:graphic>
          </wp:inline>
        </w:drawing>
      </w:r>
    </w:p>
    <w:p w14:paraId="0BB8D386" w14:textId="72620B51" w:rsidR="00673D33" w:rsidRDefault="00673D33" w:rsidP="00673D33">
      <w:pPr>
        <w:pStyle w:val="12FigureCaptionShort"/>
      </w:pPr>
      <w:r>
        <w:t xml:space="preserve">Fig. </w:t>
      </w:r>
      <w:r w:rsidR="0038375D">
        <w:t>4</w:t>
      </w:r>
      <w:r>
        <w:t xml:space="preserve">. </w:t>
      </w:r>
      <w:r w:rsidR="00634039">
        <w:t>Far-field i</w:t>
      </w:r>
      <w:r>
        <w:t xml:space="preserve">mage of light output from </w:t>
      </w:r>
      <w:r w:rsidR="00634039">
        <w:t xml:space="preserve">a </w:t>
      </w:r>
      <w:r>
        <w:t>diced facet.</w:t>
      </w:r>
    </w:p>
    <w:p w14:paraId="5DF52AB3" w14:textId="27B0C73A" w:rsidR="00014B0F" w:rsidRPr="00014B0F" w:rsidRDefault="003A256A" w:rsidP="00DE1C5A">
      <w:pPr>
        <w:pStyle w:val="10BodySubsequentParagraph"/>
      </w:pPr>
      <w:r>
        <w:t>T</w:t>
      </w:r>
      <w:r w:rsidR="00673D33">
        <w:t>o quantify t</w:t>
      </w:r>
      <w:r>
        <w:t>he outputs from the device</w:t>
      </w:r>
      <w:r w:rsidR="00673D33">
        <w:t xml:space="preserve"> the </w:t>
      </w:r>
      <w:r w:rsidR="00014B0F">
        <w:t>QCL and waveguide facets</w:t>
      </w:r>
      <w:r>
        <w:t xml:space="preserve"> were measured</w:t>
      </w:r>
      <w:r w:rsidR="0038375D">
        <w:t xml:space="preserve"> (Figure 5)</w:t>
      </w:r>
      <w:r>
        <w:t xml:space="preserve"> using a high NA lens </w:t>
      </w:r>
      <w:r w:rsidR="00DE1C5A">
        <w:t xml:space="preserve">(Thorlabs C037TME-E) </w:t>
      </w:r>
      <w:r>
        <w:t xml:space="preserve">with </w:t>
      </w:r>
      <w:r w:rsidR="004069AB">
        <w:t>anti</w:t>
      </w:r>
      <w:r w:rsidR="00183F17">
        <w:t>-reflection</w:t>
      </w:r>
      <w:r w:rsidR="004069AB">
        <w:t xml:space="preserve"> coating (</w:t>
      </w:r>
      <w:r>
        <w:t>ARC</w:t>
      </w:r>
      <w:r w:rsidR="004069AB">
        <w:t>)</w:t>
      </w:r>
      <w:r>
        <w:t xml:space="preserve"> supplied by Thorlabs. This lens was mounted in a cage syste</w:t>
      </w:r>
      <w:r w:rsidR="00014B0F">
        <w:t>m with</w:t>
      </w:r>
      <w:r>
        <w:t xml:space="preserve"> a Vigo MCT </w:t>
      </w:r>
      <w:r w:rsidR="00014B0F">
        <w:t>(electrically cooled)</w:t>
      </w:r>
      <w:r>
        <w:t xml:space="preserve"> </w:t>
      </w:r>
      <w:r w:rsidR="00014B0F">
        <w:t>detector and a</w:t>
      </w:r>
      <w:r>
        <w:t xml:space="preserve"> focusing lens with NA to match the detector acceptance angle</w:t>
      </w:r>
      <w:r w:rsidR="00DE1C5A">
        <w:t xml:space="preserve"> (Thorlabs LA7477-E2)</w:t>
      </w:r>
      <w:r w:rsidR="00014B0F">
        <w:t>. In the collimated section</w:t>
      </w:r>
      <w:r>
        <w:t xml:space="preserve"> ThorLabs Neutral Density Filters (NDF)</w:t>
      </w:r>
      <w:r w:rsidR="00014B0F">
        <w:t xml:space="preserve"> were used to prevent saturation of the detector. The attenuation of the NDFs</w:t>
      </w:r>
      <w:r w:rsidR="0038375D">
        <w:t xml:space="preserve"> with nominal </w:t>
      </w:r>
      <w:r w:rsidR="00220CAD">
        <w:t>OD = 0.3, 1.0, 2.0</w:t>
      </w:r>
      <w:r w:rsidR="0038375D">
        <w:t xml:space="preserve">, </w:t>
      </w:r>
      <w:r w:rsidR="00014B0F">
        <w:t>were ex</w:t>
      </w:r>
      <w:r w:rsidR="00220CAD">
        <w:t>perimentally</w:t>
      </w:r>
      <w:r w:rsidR="00014B0F">
        <w:t xml:space="preserve"> determined using the QCL</w:t>
      </w:r>
      <w:r w:rsidR="0054335B">
        <w:t xml:space="preserve"> as the source</w:t>
      </w:r>
      <w:r w:rsidR="0038375D">
        <w:t xml:space="preserve"> to correct for wavelength</w:t>
      </w:r>
      <w:r>
        <w:t>.</w:t>
      </w:r>
    </w:p>
    <w:p w14:paraId="5266B959" w14:textId="3350BE37" w:rsidR="00887B16" w:rsidRDefault="00014B0F" w:rsidP="00DE1C5A">
      <w:pPr>
        <w:pStyle w:val="10BodySubsequentParagraph"/>
      </w:pPr>
      <w:r>
        <w:t xml:space="preserve">The </w:t>
      </w:r>
      <w:r w:rsidR="00673D33">
        <w:t>QCL</w:t>
      </w:r>
      <w:r>
        <w:t xml:space="preserve"> was driven in pulsed mode at 10</w:t>
      </w:r>
      <w:r w:rsidRPr="00F71B31">
        <w:rPr>
          <w:vertAlign w:val="superscript"/>
        </w:rPr>
        <w:t>o</w:t>
      </w:r>
      <w:r>
        <w:t>C whilst mounted on a TEC cooled copper heatsink with thermal coupling matting between. The drive</w:t>
      </w:r>
      <w:r w:rsidR="00220CAD">
        <w:t xml:space="preserve"> current was provided by </w:t>
      </w:r>
      <w:r>
        <w:t xml:space="preserve">an ILX </w:t>
      </w:r>
      <w:r w:rsidR="00B67A7C">
        <w:t>Lightwave LDP-3830</w:t>
      </w:r>
      <w:r>
        <w:t xml:space="preserve"> operating </w:t>
      </w:r>
      <w:r w:rsidR="00220CAD">
        <w:t>with</w:t>
      </w:r>
      <w:r>
        <w:t xml:space="preserve"> 400 </w:t>
      </w:r>
      <w:r w:rsidR="00220CAD">
        <w:t>ns pulses at 0.5% duty cycle</w:t>
      </w:r>
      <w:r w:rsidRPr="00D15BBB">
        <w:t>.</w:t>
      </w:r>
      <w:r w:rsidR="00220CAD">
        <w:t xml:space="preserve"> The ILX unit has a floating ground between the two ports with </w:t>
      </w:r>
      <w:r w:rsidR="00B67A7C">
        <w:t xml:space="preserve">Tektronix TPP0100 </w:t>
      </w:r>
      <w:r w:rsidR="00220CAD">
        <w:t>passive prob</w:t>
      </w:r>
      <w:r w:rsidR="009152CD">
        <w:t>es used to measure the voltage. The LDP-3830</w:t>
      </w:r>
      <w:r w:rsidR="00220CAD">
        <w:t xml:space="preserve"> current monitor connection</w:t>
      </w:r>
      <w:r w:rsidR="009152CD">
        <w:t xml:space="preserve"> was used</w:t>
      </w:r>
      <w:r w:rsidR="00220CAD">
        <w:t xml:space="preserve"> </w:t>
      </w:r>
      <w:r w:rsidR="00673D33">
        <w:t>for measurement of t</w:t>
      </w:r>
      <w:r w:rsidR="00220CAD">
        <w:t xml:space="preserve">he operating drive current. </w:t>
      </w:r>
    </w:p>
    <w:p w14:paraId="27336F87" w14:textId="17E462DB" w:rsidR="00DE1C5A" w:rsidRDefault="00DE1C5A" w:rsidP="00DE1C5A">
      <w:pPr>
        <w:pStyle w:val="11Figure"/>
      </w:pPr>
      <w:r>
        <w:rPr>
          <w:noProof/>
          <w:lang w:val="en-GB" w:eastAsia="en-GB"/>
        </w:rPr>
        <w:lastRenderedPageBreak/>
        <w:drawing>
          <wp:inline distT="0" distB="0" distL="0" distR="0" wp14:anchorId="6D5B3EFB" wp14:editId="608C2615">
            <wp:extent cx="1285663" cy="1305443"/>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21784" cy="1342120"/>
                    </a:xfrm>
                    <a:prstGeom prst="rect">
                      <a:avLst/>
                    </a:prstGeom>
                  </pic:spPr>
                </pic:pic>
              </a:graphicData>
            </a:graphic>
          </wp:inline>
        </w:drawing>
      </w:r>
      <w:r>
        <w:t xml:space="preserve">         </w:t>
      </w:r>
      <w:r w:rsidR="00480F94">
        <w:rPr>
          <w:noProof/>
          <w:lang w:val="en-GB" w:eastAsia="en-GB"/>
        </w:rPr>
        <w:drawing>
          <wp:inline distT="0" distB="0" distL="0" distR="0" wp14:anchorId="2FB11FEF" wp14:editId="7458068E">
            <wp:extent cx="3104856" cy="256667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6915" cy="2568372"/>
                    </a:xfrm>
                    <a:prstGeom prst="rect">
                      <a:avLst/>
                    </a:prstGeom>
                  </pic:spPr>
                </pic:pic>
              </a:graphicData>
            </a:graphic>
          </wp:inline>
        </w:drawing>
      </w:r>
    </w:p>
    <w:p w14:paraId="7B4A52E6" w14:textId="6DC709FE" w:rsidR="00DE1C5A" w:rsidRPr="003A256A" w:rsidRDefault="00DE1C5A" w:rsidP="00DE1C5A">
      <w:pPr>
        <w:pStyle w:val="12FigureCaptionShort"/>
      </w:pPr>
      <w:r>
        <w:t xml:space="preserve">Fig. </w:t>
      </w:r>
      <w:r w:rsidR="0038375D">
        <w:t>5</w:t>
      </w:r>
      <w:r>
        <w:t>. (a) Integrated chip and outputs measured</w:t>
      </w:r>
      <w:r w:rsidR="00B53BFA">
        <w:t>.</w:t>
      </w:r>
      <w:r>
        <w:t xml:space="preserve"> (b) </w:t>
      </w:r>
      <w:r w:rsidR="00B53BFA">
        <w:t xml:space="preserve">Light </w:t>
      </w:r>
      <w:r>
        <w:t xml:space="preserve">outputs from </w:t>
      </w:r>
      <w:r w:rsidR="00B53BFA">
        <w:t>integrated chip</w:t>
      </w:r>
      <w:r>
        <w:t>.</w:t>
      </w:r>
    </w:p>
    <w:p w14:paraId="4CB61767" w14:textId="7389AA47" w:rsidR="003A256A" w:rsidRDefault="003A256A" w:rsidP="00DE1C5A">
      <w:pPr>
        <w:pStyle w:val="10BodySubsequentParagraph"/>
      </w:pPr>
      <w:r>
        <w:t xml:space="preserve">The FTFC was calculated </w:t>
      </w:r>
      <w:r w:rsidRPr="00887B16">
        <w:t>using</w:t>
      </w:r>
      <w:r>
        <w:t xml:space="preserve"> a </w:t>
      </w:r>
      <w:r w:rsidRPr="00D15BBB">
        <w:t>loss model</w:t>
      </w:r>
      <w:r>
        <w:t xml:space="preserve"> </w:t>
      </w:r>
      <w:r w:rsidR="005A4ABA">
        <w:t xml:space="preserve">shown in </w:t>
      </w:r>
      <w:r>
        <w:t>Fig</w:t>
      </w:r>
      <w:r w:rsidR="0038375D">
        <w:t>ure</w:t>
      </w:r>
      <w:r>
        <w:t xml:space="preserve"> </w:t>
      </w:r>
      <w:r w:rsidR="0038375D">
        <w:t>6</w:t>
      </w:r>
      <w:r>
        <w:t xml:space="preserve"> using the losses </w:t>
      </w:r>
      <w:r w:rsidR="009152CD">
        <w:t>derived</w:t>
      </w:r>
      <w:r>
        <w:t xml:space="preserve"> from the passive test structures, and a Fresnel reflection calculation using the effective index from</w:t>
      </w:r>
      <w:r w:rsidR="009152CD">
        <w:t xml:space="preserve"> simulating the taper structure, in conjunction with t</w:t>
      </w:r>
      <w:r>
        <w:t>he QCL and waveguide outputs.</w:t>
      </w:r>
    </w:p>
    <w:p w14:paraId="00ACA097" w14:textId="131F010A" w:rsidR="003A256A" w:rsidRDefault="003A256A" w:rsidP="003A256A">
      <w:pPr>
        <w:pStyle w:val="10BodySubsequentParagraph"/>
        <w:rPr>
          <w:rFonts w:asciiTheme="minorHAnsi" w:hAnsiTheme="minorHAnsi"/>
          <w:color w:val="auto"/>
          <w:sz w:val="22"/>
        </w:rPr>
      </w:pPr>
    </w:p>
    <w:p w14:paraId="2777A517" w14:textId="276E03A7" w:rsidR="00887B16" w:rsidRDefault="00887B16" w:rsidP="00887B16">
      <w:pPr>
        <w:pStyle w:val="11Figure"/>
      </w:pPr>
      <w:r>
        <w:rPr>
          <w:noProof/>
          <w:lang w:val="en-GB" w:eastAsia="en-GB"/>
        </w:rPr>
        <w:drawing>
          <wp:inline distT="0" distB="0" distL="0" distR="0" wp14:anchorId="0CF73EF3" wp14:editId="4C3EFC9D">
            <wp:extent cx="4237355" cy="774257"/>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1092" cy="787730"/>
                    </a:xfrm>
                    <a:prstGeom prst="rect">
                      <a:avLst/>
                    </a:prstGeom>
                    <a:noFill/>
                  </pic:spPr>
                </pic:pic>
              </a:graphicData>
            </a:graphic>
          </wp:inline>
        </w:drawing>
      </w:r>
    </w:p>
    <w:p w14:paraId="329CF767" w14:textId="77777777" w:rsidR="00887B16" w:rsidRPr="00D15BBB" w:rsidRDefault="00374E53" w:rsidP="00887B16">
      <w:pPr>
        <w:pStyle w:val="13Equation"/>
      </w:pPr>
      <m:oMathPara>
        <m:oMath>
          <m:sSub>
            <m:sSubPr>
              <m:ctrlPr>
                <w:rPr>
                  <w:rFonts w:ascii="Cambria Math" w:hAnsi="Cambria Math"/>
                </w:rPr>
              </m:ctrlPr>
            </m:sSubPr>
            <m:e>
              <m:r>
                <w:rPr>
                  <w:rFonts w:ascii="Cambria Math" w:hAnsi="Cambria Math"/>
                </w:rPr>
                <m:t>L</m:t>
              </m:r>
            </m:e>
            <m:sub>
              <m:r>
                <w:rPr>
                  <w:rFonts w:ascii="Cambria Math" w:hAnsi="Cambria Math"/>
                </w:rPr>
                <m:t>c</m:t>
              </m:r>
            </m:sub>
          </m:sSub>
          <m:r>
            <m:rPr>
              <m:sty m:val="p"/>
            </m:rPr>
            <w:rPr>
              <w:rFonts w:ascii="Cambria Math" w:hAnsi="Cambria Math"/>
            </w:rPr>
            <m:t>= -10.</m:t>
          </m:r>
          <m:sSub>
            <m:sSubPr>
              <m:ctrlPr>
                <w:rPr>
                  <w:rFonts w:ascii="Cambria Math" w:hAnsi="Cambria Math"/>
                </w:rPr>
              </m:ctrlPr>
            </m:sSubPr>
            <m:e>
              <m:r>
                <w:rPr>
                  <w:rFonts w:ascii="Cambria Math" w:hAnsi="Cambria Math"/>
                </w:rPr>
                <m:t>log</m:t>
              </m:r>
            </m:e>
            <m:sub>
              <m:r>
                <m:rPr>
                  <m:sty m:val="p"/>
                </m:rPr>
                <w:rPr>
                  <w:rFonts w:ascii="Cambria Math" w:hAnsi="Cambria Math"/>
                </w:rPr>
                <m:t>10</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WG</m:t>
                      </m:r>
                    </m:sub>
                  </m:sSub>
                </m:num>
                <m:den>
                  <m:sSub>
                    <m:sSubPr>
                      <m:ctrlPr>
                        <w:rPr>
                          <w:rFonts w:ascii="Cambria Math" w:hAnsi="Cambria Math"/>
                        </w:rPr>
                      </m:ctrlPr>
                    </m:sSubPr>
                    <m:e>
                      <m:r>
                        <w:rPr>
                          <w:rFonts w:ascii="Cambria Math" w:hAnsi="Cambria Math"/>
                        </w:rPr>
                        <m:t>P</m:t>
                      </m:r>
                    </m:e>
                    <m:sub>
                      <m:r>
                        <w:rPr>
                          <w:rFonts w:ascii="Cambria Math" w:hAnsi="Cambria Math"/>
                        </w:rPr>
                        <m:t>QCL</m:t>
                      </m:r>
                    </m:sub>
                  </m:sSub>
                </m:den>
              </m:f>
            </m:e>
          </m:d>
          <m:r>
            <m:rPr>
              <m:sty m:val="p"/>
            </m:rPr>
            <w:rPr>
              <w:rFonts w:ascii="Cambria Math" w:hAnsi="Cambria Math"/>
            </w:rPr>
            <m:t>-</m:t>
          </m:r>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p</m:t>
              </m:r>
            </m:sub>
          </m:sSub>
          <m:r>
            <m:rPr>
              <m:sty m:val="p"/>
            </m:rPr>
            <w:rPr>
              <w:rFonts w:ascii="Cambria Math" w:hAnsi="Cambria Math"/>
            </w:rPr>
            <m:t>-</m:t>
          </m:r>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r</m:t>
              </m:r>
            </m:sub>
          </m:sSub>
        </m:oMath>
      </m:oMathPara>
    </w:p>
    <w:p w14:paraId="428EF7BB" w14:textId="27EEE3C9" w:rsidR="00887B16" w:rsidRPr="00887B16" w:rsidRDefault="00887B16" w:rsidP="00887B16">
      <w:pPr>
        <w:pStyle w:val="12FigureCaptionShort"/>
      </w:pPr>
      <w:r>
        <w:t>Fig.</w:t>
      </w:r>
      <w:r w:rsidR="00125D46">
        <w:t xml:space="preserve"> 6.</w:t>
      </w:r>
      <w:r>
        <w:t xml:space="preserve"> FTFC calculation model.</w:t>
      </w:r>
    </w:p>
    <w:p w14:paraId="79996FFB" w14:textId="1C6C025C" w:rsidR="003A256A" w:rsidRPr="00887B16" w:rsidRDefault="00570091" w:rsidP="00887B16">
      <w:pPr>
        <w:pStyle w:val="10BodySubsequentParagraph"/>
      </w:pPr>
      <w:r>
        <w:t xml:space="preserve">The propagation loss was measured to be </w:t>
      </w:r>
      <w:r w:rsidR="00C47C49">
        <w:t>8.6 dB/cm and the bend loss 9.8 dB/cm. These high values are thought to be from strain induced defects at the silicon-germanium interface accentuated by the thermal cycling involved in the deep ICP-RIE etch.</w:t>
      </w:r>
    </w:p>
    <w:p w14:paraId="44C56238" w14:textId="11B0530A" w:rsidR="00887B16" w:rsidRDefault="00887B16" w:rsidP="00887B16">
      <w:pPr>
        <w:pStyle w:val="10BodySubsequentParagraph"/>
      </w:pPr>
      <w:r w:rsidRPr="00887B16">
        <w:t>The peak o</w:t>
      </w:r>
      <w:r w:rsidR="00C47C49">
        <w:t>utputs coupling (Table 1) was 12</w:t>
      </w:r>
      <w:r w:rsidRPr="00887B16">
        <w:t>.</w:t>
      </w:r>
      <w:r w:rsidR="00C47C49">
        <w:t>9</w:t>
      </w:r>
      <w:r w:rsidRPr="00887B16">
        <w:t xml:space="preserve">%, this produces a maximum value for FTFC of </w:t>
      </w:r>
      <w:r w:rsidR="00B86888">
        <w:t>4</w:t>
      </w:r>
      <w:r w:rsidR="008B4CCA">
        <w:t>4.8</w:t>
      </w:r>
      <w:r w:rsidRPr="00887B16">
        <w:t xml:space="preserve">%. As rollover of the laser output sets in, FTFC falls to </w:t>
      </w:r>
      <w:r w:rsidR="00B86888">
        <w:t>26</w:t>
      </w:r>
      <w:r w:rsidRPr="00887B16">
        <w:t>%.</w:t>
      </w:r>
      <w:r w:rsidR="00034AD8">
        <w:t xml:space="preserve"> </w:t>
      </w:r>
      <w:r w:rsidR="00BD102D">
        <w:t>However, it must be noted that relatively small changes in measured output facet coupling produce a large change in the calculated interface FTFC when considering the large propagation losses in the waveguide</w:t>
      </w:r>
      <w:r w:rsidR="00BD102D" w:rsidRPr="000112C0">
        <w:t xml:space="preserve">. </w:t>
      </w:r>
      <w:r w:rsidR="000112C0" w:rsidRPr="000112C0">
        <w:t>T</w:t>
      </w:r>
      <w:r w:rsidR="00034AD8" w:rsidRPr="000112C0">
        <w:t xml:space="preserve">he measurement </w:t>
      </w:r>
      <w:r w:rsidR="000112C0" w:rsidRPr="000112C0">
        <w:t xml:space="preserve">was repeated </w:t>
      </w:r>
      <w:r w:rsidR="00034AD8" w:rsidRPr="000112C0">
        <w:t>with longer pulses (600 ns)</w:t>
      </w:r>
      <w:r w:rsidR="000112C0" w:rsidRPr="000112C0">
        <w:t xml:space="preserve"> and this provided</w:t>
      </w:r>
      <w:r w:rsidR="00034AD8" w:rsidRPr="000112C0">
        <w:t xml:space="preserve"> more stable</w:t>
      </w:r>
      <w:r w:rsidR="000112C0" w:rsidRPr="000112C0">
        <w:t xml:space="preserve"> interface coupling values with increasing current: </w:t>
      </w:r>
      <w:r w:rsidR="00125D46" w:rsidRPr="000112C0">
        <w:t xml:space="preserve">the interface FTFC </w:t>
      </w:r>
      <w:r w:rsidR="00034AD8" w:rsidRPr="000112C0">
        <w:t>around 2</w:t>
      </w:r>
      <w:r w:rsidR="005E65AE" w:rsidRPr="000112C0">
        <w:t>4 to 27</w:t>
      </w:r>
      <w:r w:rsidR="00034AD8" w:rsidRPr="000112C0">
        <w:t>%.</w:t>
      </w:r>
      <w:r w:rsidR="00B86888" w:rsidRPr="000112C0">
        <w:t xml:space="preserve"> This </w:t>
      </w:r>
      <w:r w:rsidR="000112C0" w:rsidRPr="000112C0">
        <w:t>may</w:t>
      </w:r>
      <w:r w:rsidR="000112C0">
        <w:t xml:space="preserve"> </w:t>
      </w:r>
      <w:r w:rsidR="00B86888">
        <w:t xml:space="preserve">suggest that the change in coupling </w:t>
      </w:r>
      <w:r w:rsidR="000112C0">
        <w:t>with the shorter pulse (400 ns) could</w:t>
      </w:r>
      <w:r w:rsidR="00B86888">
        <w:t xml:space="preserve"> be due to heating effects of the QCL</w:t>
      </w:r>
      <w:r w:rsidR="00DE1C5A">
        <w:t xml:space="preserve"> affecting alignment</w:t>
      </w:r>
      <w:r w:rsidR="000112C0">
        <w:t xml:space="preserve"> or the output wavelength</w:t>
      </w:r>
      <w:r w:rsidR="009152CD">
        <w:t xml:space="preserve"> with increased drive current</w:t>
      </w:r>
      <w:r w:rsidR="00B86888">
        <w:t>.</w:t>
      </w:r>
      <w:r w:rsidR="00DE1C5A">
        <w:t xml:space="preserve"> Thermal effects were noted around roll-over as the detector pulse profile changed with the </w:t>
      </w:r>
      <w:r w:rsidR="00125D46">
        <w:t xml:space="preserve">apparent </w:t>
      </w:r>
      <w:r w:rsidR="00DE1C5A">
        <w:t>intensity peak shifting forward</w:t>
      </w:r>
      <w:r w:rsidR="00125D46">
        <w:t xml:space="preserve"> in time during the pulse as the output </w:t>
      </w:r>
      <w:r w:rsidR="00B53BFA">
        <w:t>intensity fell</w:t>
      </w:r>
      <w:r w:rsidR="00125D46">
        <w:t xml:space="preserve"> with time</w:t>
      </w:r>
      <w:r w:rsidR="00B53BFA">
        <w:t>.</w:t>
      </w:r>
      <w:r w:rsidR="00BD102D">
        <w:t xml:space="preserve"> </w:t>
      </w:r>
    </w:p>
    <w:p w14:paraId="63089845" w14:textId="149FF446" w:rsidR="00887B16" w:rsidRDefault="00887B16" w:rsidP="00887B16">
      <w:pPr>
        <w:pStyle w:val="14TableCaption"/>
      </w:pPr>
      <w:r>
        <w:t>Table 1. Output coupling variation with drive current.</w:t>
      </w:r>
    </w:p>
    <w:p w14:paraId="092A5092" w14:textId="1A1EDE99" w:rsidR="00183F17" w:rsidRDefault="00BD102D" w:rsidP="00C9573B">
      <w:pPr>
        <w:pStyle w:val="14TableCaption"/>
      </w:pPr>
      <w:r>
        <w:rPr>
          <w:noProof/>
          <w:lang w:val="en-GB" w:eastAsia="en-GB"/>
        </w:rPr>
        <w:lastRenderedPageBreak/>
        <w:drawing>
          <wp:inline distT="0" distB="0" distL="0" distR="0" wp14:anchorId="20B25FD0" wp14:editId="67A926B7">
            <wp:extent cx="2860675" cy="13029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2179" cy="1312748"/>
                    </a:xfrm>
                    <a:prstGeom prst="rect">
                      <a:avLst/>
                    </a:prstGeom>
                  </pic:spPr>
                </pic:pic>
              </a:graphicData>
            </a:graphic>
          </wp:inline>
        </w:drawing>
      </w:r>
    </w:p>
    <w:p w14:paraId="16DC241C" w14:textId="66FB6AA6" w:rsidR="00183F17" w:rsidRPr="00183F17" w:rsidRDefault="00C9573B" w:rsidP="000112C0">
      <w:pPr>
        <w:pStyle w:val="10BodySubsequentParagraph"/>
      </w:pPr>
      <w:r>
        <w:t xml:space="preserve">The data shown above is from the laser with the highest coupling efficiency </w:t>
      </w:r>
      <w:r w:rsidR="0095077B">
        <w:t>from</w:t>
      </w:r>
      <w:r>
        <w:t xml:space="preserve"> the bar, the eleventh of twenty-four, and located close to the middle of the bar. Along the bar were a mixture of endfire and grating </w:t>
      </w:r>
      <w:r w:rsidR="001D7B26">
        <w:t>coupled</w:t>
      </w:r>
      <w:r>
        <w:t xml:space="preserve"> lasers, with measurements for grating couplers complicating the measurement of interface FTFC and not presented here. Comparing the seventeen endfire coupled lasers, sixteen of these were operational, and all of those sixteen coupled light. Away from the centre of the bat, and in both directions, the coupling efficiency fell indicating that this was not from rotation misalignment (yaw). The fall in efficiency</w:t>
      </w:r>
      <w:r w:rsidR="0095077B">
        <w:t>,</w:t>
      </w:r>
      <w:r>
        <w:t xml:space="preserve"> down to 3% </w:t>
      </w:r>
      <w:r w:rsidR="00F54D73">
        <w:t>at the edge of the laser bar, is most likely due to the the</w:t>
      </w:r>
      <w:r w:rsidR="0095077B">
        <w:t>rmal mismatch of the components.</w:t>
      </w:r>
      <w:r w:rsidR="00F54D73">
        <w:t xml:space="preserve"> </w:t>
      </w:r>
      <w:r w:rsidR="0095077B">
        <w:t>However, the tapered</w:t>
      </w:r>
      <w:r w:rsidR="00F54D73">
        <w:t xml:space="preserve"> facets of the wavegui</w:t>
      </w:r>
      <w:r w:rsidR="0095077B">
        <w:t>des allowed</w:t>
      </w:r>
      <w:r w:rsidR="00F54D73">
        <w:t xml:space="preserve"> for some misalignment, whilst still achieving coupling.</w:t>
      </w:r>
      <w:r>
        <w:t xml:space="preserve">   </w:t>
      </w:r>
    </w:p>
    <w:p w14:paraId="1F7434EE" w14:textId="77777777" w:rsidR="00183F17" w:rsidRPr="00183F17" w:rsidRDefault="00183F17" w:rsidP="000112C0">
      <w:pPr>
        <w:pStyle w:val="10BodySubsequentParagraph"/>
      </w:pPr>
    </w:p>
    <w:p w14:paraId="5A110CCA" w14:textId="5073F339" w:rsidR="00887B16" w:rsidRPr="00D15BBB" w:rsidRDefault="00C9346A" w:rsidP="00887B16">
      <w:pPr>
        <w:pStyle w:val="08SectionHeader1"/>
      </w:pPr>
      <w:r>
        <w:t>Conclusions</w:t>
      </w:r>
    </w:p>
    <w:p w14:paraId="3AB50A05" w14:textId="4474C78D" w:rsidR="00C24FDB" w:rsidRDefault="00C9346A" w:rsidP="00495D05">
      <w:pPr>
        <w:pStyle w:val="09BodyFirstParagraph"/>
      </w:pPr>
      <w:r>
        <w:t>In this paper, we have demonstrated a possible route to manufacture for integrated QCLs operating in the MIR</w:t>
      </w:r>
      <w:r w:rsidR="000A664E">
        <w:t xml:space="preserve"> coupled to a silicon photonics sensing platform</w:t>
      </w:r>
      <w:r>
        <w:t xml:space="preserve"> using current CMOS compatible processes.</w:t>
      </w:r>
      <w:r w:rsidR="005F3311">
        <w:t xml:space="preserve"> The efficient co-design of the components</w:t>
      </w:r>
      <w:r>
        <w:t xml:space="preserve"> </w:t>
      </w:r>
      <w:r w:rsidR="00C24FDB">
        <w:t>opens up the possibility of scaling up production for widespread use outside of the laboratory for this mechanically strong system. A</w:t>
      </w:r>
      <w:r>
        <w:t>pplications for medical, environmental and security sensing</w:t>
      </w:r>
      <w:r w:rsidR="000A664E">
        <w:t xml:space="preserve"> </w:t>
      </w:r>
      <w:r w:rsidR="00C24FDB">
        <w:t>across the MIR become feasible, from desktop diagnosis in a medical setting through to harsh environments for ocean gas monitoring for example</w:t>
      </w:r>
      <w:r w:rsidR="000A664E">
        <w:t xml:space="preserve">. </w:t>
      </w:r>
    </w:p>
    <w:p w14:paraId="05F54816" w14:textId="77777777" w:rsidR="008D2463" w:rsidRDefault="000A664E" w:rsidP="008D2463">
      <w:pPr>
        <w:pStyle w:val="10BodySubsequentParagraph"/>
      </w:pPr>
      <w:r>
        <w:t xml:space="preserve">The hybrid flip-chip bonded approach </w:t>
      </w:r>
      <w:r w:rsidR="00EA2DF7">
        <w:t>using</w:t>
      </w:r>
      <w:r>
        <w:t xml:space="preserve"> passive alignment of the components</w:t>
      </w:r>
      <w:r w:rsidR="00C24FDB">
        <w:t xml:space="preserve"> used an etched support structure in the GOS in contact with unprocessed sections of the QCL</w:t>
      </w:r>
      <w:r w:rsidR="00EA2DF7">
        <w:t xml:space="preserve"> for repeatable vertical alignment</w:t>
      </w:r>
      <w:r w:rsidR="00C24FDB">
        <w:t xml:space="preserve">. The flat placement </w:t>
      </w:r>
      <w:r w:rsidR="00EA2DF7">
        <w:t>of the QCL was</w:t>
      </w:r>
      <w:r w:rsidR="00C24FDB">
        <w:t xml:space="preserve"> achieved by combining this structure with gimballed placement tools and a molten gold-tin solder. </w:t>
      </w:r>
      <w:r w:rsidR="005F3311">
        <w:t>QCL performance has been maintained for pulsed operation after integration and coupling demonstrated for milliwatts of power.</w:t>
      </w:r>
      <w:r w:rsidR="008D2463">
        <w:t xml:space="preserve"> Further gains could be made from the addition of heatsinking to the exposed substrate of the QCL, proven to dramatically improve performance to CW and high powers. If required active cooling could be included and integrated onto the chip.   </w:t>
      </w:r>
    </w:p>
    <w:p w14:paraId="25984179" w14:textId="37A46D62" w:rsidR="00C9346A" w:rsidRDefault="001D7B26" w:rsidP="008D2463">
      <w:pPr>
        <w:pStyle w:val="10BodySubsequentParagraph"/>
      </w:pPr>
      <w:r>
        <w:t xml:space="preserve">The </w:t>
      </w:r>
      <w:r w:rsidR="008D2463">
        <w:t xml:space="preserve">drop off in alignment </w:t>
      </w:r>
      <w:r>
        <w:t>that was noted was expected and due to thermal</w:t>
      </w:r>
      <w:r w:rsidR="0095077B">
        <w:t xml:space="preserve"> expansion coefficient mismatch. An</w:t>
      </w:r>
      <w:r>
        <w:t xml:space="preserve"> interface FTFC of </w:t>
      </w:r>
      <w:r w:rsidR="008D2463">
        <w:t xml:space="preserve">3% </w:t>
      </w:r>
      <w:r>
        <w:t>was still achieved near the edge of the 14.5 mm wide laser bar</w:t>
      </w:r>
      <w:r w:rsidR="008D2463">
        <w:t xml:space="preserve">. </w:t>
      </w:r>
      <w:r>
        <w:t>C</w:t>
      </w:r>
      <w:r w:rsidR="008D2463">
        <w:t>oupling has been made possible by the tapered waveguide</w:t>
      </w:r>
      <w:r>
        <w:t xml:space="preserve"> at the interface, whilst maintaining operation of the strained lasers. The potentially complex e</w:t>
      </w:r>
      <w:r w:rsidR="008D2463">
        <w:t>xpansion</w:t>
      </w:r>
      <w:r>
        <w:t xml:space="preserve"> mismatch (a function of tooling, components, and thermal gradients)</w:t>
      </w:r>
      <w:r w:rsidR="008D2463">
        <w:t xml:space="preserve"> will be experimentally measured on the chip and included in future designs</w:t>
      </w:r>
      <w:r>
        <w:t xml:space="preserve"> increasing the potential for use of this system for long laser bars</w:t>
      </w:r>
      <w:r w:rsidR="008D2463">
        <w:t xml:space="preserve">.   </w:t>
      </w:r>
    </w:p>
    <w:p w14:paraId="3057CB32" w14:textId="358C5BDA" w:rsidR="0062471D" w:rsidRDefault="00C24FDB" w:rsidP="00C24FDB">
      <w:pPr>
        <w:pStyle w:val="10BodySubsequentParagraph"/>
      </w:pPr>
      <w:r>
        <w:t xml:space="preserve">The novel use of laser bars has the potential for multiple sources, and the possibility of </w:t>
      </w:r>
      <w:r w:rsidR="00EA2DF7">
        <w:t>combining</w:t>
      </w:r>
      <w:r>
        <w:t xml:space="preserve"> lasers for power or potentially at different wavelengths within the gain spectra of the lasers, all with a single alignment.</w:t>
      </w:r>
      <w:r w:rsidR="00EA2DF7">
        <w:t xml:space="preserve"> With further developments such as active cooling for the QCL integrated on the GOS chip, portable low-cost, low power light sources on chip could be realized and become a common tool for tackling climate change and medical diagnosis. </w:t>
      </w:r>
    </w:p>
    <w:p w14:paraId="53213B3A" w14:textId="3CEA08E5" w:rsidR="003A256A" w:rsidRDefault="003A256A" w:rsidP="00887B16">
      <w:pPr>
        <w:pStyle w:val="10BodySubsequentParagraph"/>
      </w:pPr>
    </w:p>
    <w:p w14:paraId="79641773" w14:textId="0FE483F3" w:rsidR="003A256A" w:rsidRDefault="003A256A" w:rsidP="00887B16">
      <w:pPr>
        <w:pStyle w:val="10BodySubsequentParagraph"/>
      </w:pPr>
    </w:p>
    <w:p w14:paraId="422F867D" w14:textId="5D60BA5F" w:rsidR="00994199" w:rsidRPr="00A03147" w:rsidRDefault="00994199" w:rsidP="00994199">
      <w:pPr>
        <w:pStyle w:val="16TableFootnote"/>
        <w:jc w:val="center"/>
      </w:pPr>
    </w:p>
    <w:p w14:paraId="344734F0" w14:textId="09008EFF" w:rsidR="00994199" w:rsidRDefault="00061BBE" w:rsidP="00061BBE">
      <w:pPr>
        <w:pStyle w:val="08SectionHeader10"/>
        <w:ind w:left="0" w:firstLine="0"/>
      </w:pPr>
      <w:r>
        <w:t>Acknowledgements</w:t>
      </w:r>
    </w:p>
    <w:p w14:paraId="2AC6B8A0" w14:textId="757A9085" w:rsidR="00994199" w:rsidRDefault="00994199" w:rsidP="00994199">
      <w:pPr>
        <w:pStyle w:val="08SectionHeader2"/>
      </w:pPr>
      <w:r>
        <w:t>Funding</w:t>
      </w:r>
      <w:r w:rsidR="0064189F">
        <w:t xml:space="preserve"> etc</w:t>
      </w:r>
      <w:r w:rsidR="00143BA8">
        <w:t xml:space="preserve"> (</w:t>
      </w:r>
      <w:r w:rsidR="00143BA8" w:rsidRPr="00061BBE">
        <w:rPr>
          <w:highlight w:val="yellow"/>
        </w:rPr>
        <w:t>MISSION</w:t>
      </w:r>
      <w:r w:rsidR="00143BA8">
        <w:t>)</w:t>
      </w:r>
    </w:p>
    <w:p w14:paraId="60DE29F5" w14:textId="77777777" w:rsidR="00A814A6" w:rsidRPr="00773CCD" w:rsidRDefault="00A814A6" w:rsidP="00773CCD">
      <w:pPr>
        <w:pStyle w:val="10BodySubsequentParagraph"/>
      </w:pPr>
    </w:p>
    <w:p w14:paraId="2ED55A01" w14:textId="77777777" w:rsidR="0064189F" w:rsidRDefault="0064189F" w:rsidP="004E5380">
      <w:pPr>
        <w:pStyle w:val="25ReferenceSectionHeader"/>
      </w:pPr>
    </w:p>
    <w:p w14:paraId="64D574CF" w14:textId="5769F4D5" w:rsidR="00E61943" w:rsidRDefault="004E5380" w:rsidP="00125D46">
      <w:pPr>
        <w:pStyle w:val="25ReferenceSectionHeader"/>
      </w:pPr>
      <w:r>
        <w:t>References</w:t>
      </w:r>
      <w:r w:rsidR="0064189F">
        <w:t xml:space="preserve"> </w:t>
      </w:r>
    </w:p>
    <w:sectPr w:rsidR="00E61943" w:rsidSect="00773CCD">
      <w:endnotePr>
        <w:numFmt w:val="decimal"/>
      </w:endnotePr>
      <w:pgSz w:w="12240" w:h="15840" w:code="1"/>
      <w:pgMar w:top="1872" w:right="2347" w:bottom="1872" w:left="23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5D5005" w14:textId="77777777" w:rsidR="00374E53" w:rsidRDefault="00374E53" w:rsidP="00E0037E">
      <w:pPr>
        <w:spacing w:after="0" w:line="240" w:lineRule="auto"/>
      </w:pPr>
      <w:r>
        <w:separator/>
      </w:r>
    </w:p>
  </w:endnote>
  <w:endnote w:type="continuationSeparator" w:id="0">
    <w:p w14:paraId="435F7559" w14:textId="77777777" w:rsidR="00374E53" w:rsidRDefault="00374E53" w:rsidP="00E0037E">
      <w:pPr>
        <w:spacing w:after="0" w:line="240" w:lineRule="auto"/>
      </w:pPr>
      <w:r>
        <w:continuationSeparator/>
      </w:r>
    </w:p>
  </w:endnote>
  <w:endnote w:id="1">
    <w:p w14:paraId="703280B3" w14:textId="77777777" w:rsidR="00287B91" w:rsidRPr="009E752B" w:rsidRDefault="00287B91" w:rsidP="009E752B">
      <w:pPr>
        <w:pStyle w:val="EndnoteText"/>
        <w:rPr>
          <w:lang w:val="en-GB"/>
        </w:rPr>
      </w:pPr>
      <w:r>
        <w:rPr>
          <w:rStyle w:val="EndnoteReference"/>
        </w:rPr>
        <w:endnoteRef/>
      </w:r>
      <w:r>
        <w:t xml:space="preserve"> </w:t>
      </w:r>
      <w:r w:rsidRPr="009E752B">
        <w:t>Zhou, Z., Ou, X., Fang, Y. et al. Prospects and applications of on-chip lasers. eLight 3, 1 (2023). https://doi.org/10.1186/s43593-022-00027-x</w:t>
      </w:r>
    </w:p>
  </w:endnote>
  <w:endnote w:id="2">
    <w:p w14:paraId="5B556B1B" w14:textId="3C9FEEB3" w:rsidR="00287B91" w:rsidRDefault="00287B91">
      <w:pPr>
        <w:pStyle w:val="EndnoteText"/>
      </w:pPr>
      <w:r>
        <w:rPr>
          <w:rStyle w:val="EndnoteReference"/>
        </w:rPr>
        <w:endnoteRef/>
      </w:r>
      <w:r>
        <w:t xml:space="preserve"> Duan, G. H. </w:t>
      </w:r>
      <w:r>
        <w:rPr>
          <w:i/>
          <w:iCs/>
        </w:rPr>
        <w:t>et al</w:t>
      </w:r>
      <w:r>
        <w:t xml:space="preserve">. New Advances on Heterogeneous Integration of III–V on Silicon. </w:t>
      </w:r>
      <w:r>
        <w:rPr>
          <w:i/>
          <w:iCs/>
        </w:rPr>
        <w:t>IEEE J</w:t>
      </w:r>
      <w:r>
        <w:t xml:space="preserve">. </w:t>
      </w:r>
      <w:r>
        <w:rPr>
          <w:i/>
          <w:iCs/>
        </w:rPr>
        <w:t>Light</w:t>
      </w:r>
      <w:r>
        <w:t xml:space="preserve">. </w:t>
      </w:r>
      <w:r>
        <w:rPr>
          <w:i/>
          <w:iCs/>
        </w:rPr>
        <w:t>Technol</w:t>
      </w:r>
      <w:r>
        <w:t xml:space="preserve">. </w:t>
      </w:r>
      <w:r>
        <w:rPr>
          <w:b/>
          <w:bCs/>
        </w:rPr>
        <w:t>33</w:t>
      </w:r>
      <w:r>
        <w:t>, 976–983, and references therein (2015).</w:t>
      </w:r>
    </w:p>
  </w:endnote>
  <w:endnote w:id="3">
    <w:p w14:paraId="14ECBA44" w14:textId="40E1F6F1" w:rsidR="00287B91" w:rsidRPr="00E57D22" w:rsidRDefault="00287B91">
      <w:pPr>
        <w:pStyle w:val="EndnoteText"/>
        <w:rPr>
          <w:lang w:val="en-GB"/>
        </w:rPr>
      </w:pPr>
      <w:r>
        <w:rPr>
          <w:rStyle w:val="EndnoteReference"/>
        </w:rPr>
        <w:endnoteRef/>
      </w:r>
      <w:r>
        <w:t xml:space="preserve"> G. Roelkens et al., "Micro-Transfer Printing for Heterogeneous Si Photonic Integrated Circuits," in IEEE Journal of Selected Topics in Quantum Electronics, vol. 29, no. 3: Photon. Elec. Co-Inte. and Adv. Trans. Print., pp. 1-14, May-June 2023, Art no. 8200414, doi: 10.1109/JSTQE.2022.3222686.</w:t>
      </w:r>
    </w:p>
  </w:endnote>
  <w:endnote w:id="4">
    <w:p w14:paraId="41EFD608" w14:textId="6BAA3359" w:rsidR="00287B91" w:rsidRPr="00A56C49" w:rsidRDefault="00287B91" w:rsidP="00481B2E">
      <w:pPr>
        <w:pStyle w:val="EndnoteText"/>
        <w:rPr>
          <w:lang w:val="en-GB"/>
        </w:rPr>
      </w:pPr>
      <w:r>
        <w:rPr>
          <w:rStyle w:val="EndnoteReference"/>
        </w:rPr>
        <w:endnoteRef/>
      </w:r>
      <w:r>
        <w:t xml:space="preserve"> M. A. Tran, D. Huang, J. Guo, T. Komljenovic, P. A. Morton, and J. E. Bowers, “Ring-Resonator Based Widely-Tunable Narrow-Linewidth Si/InP Integrated Lasers” IEEE J. Sel. Top. Quantum Electron. 26(2), 1500514 (2020)</w:t>
      </w:r>
    </w:p>
  </w:endnote>
  <w:endnote w:id="5">
    <w:p w14:paraId="09FBB933" w14:textId="59D52937" w:rsidR="00287B91" w:rsidRDefault="00287B91">
      <w:pPr>
        <w:pStyle w:val="EndnoteText"/>
      </w:pPr>
      <w:r>
        <w:rPr>
          <w:rStyle w:val="EndnoteReference"/>
        </w:rPr>
        <w:endnoteRef/>
      </w:r>
      <w:r>
        <w:t xml:space="preserve"> Wang, Z. </w:t>
      </w:r>
      <w:r>
        <w:rPr>
          <w:i/>
          <w:iCs/>
        </w:rPr>
        <w:t>et al</w:t>
      </w:r>
      <w:r>
        <w:t xml:space="preserve">. Room-temperature InP distributed feedback laser array directly grown on silicon. </w:t>
      </w:r>
      <w:r>
        <w:rPr>
          <w:i/>
          <w:iCs/>
        </w:rPr>
        <w:t>Nature Photon.</w:t>
      </w:r>
      <w:r>
        <w:t xml:space="preserve"> </w:t>
      </w:r>
      <w:r>
        <w:rPr>
          <w:b/>
          <w:bCs/>
        </w:rPr>
        <w:t>9</w:t>
      </w:r>
      <w:r>
        <w:t xml:space="preserve">, 837–842 (2015).? </w:t>
      </w:r>
      <w:r w:rsidRPr="00143BA8">
        <w:rPr>
          <w:highlight w:val="yellow"/>
        </w:rPr>
        <w:t>Anything more recent?</w:t>
      </w:r>
      <w:r>
        <w:t xml:space="preserve"> </w:t>
      </w:r>
    </w:p>
  </w:endnote>
  <w:endnote w:id="6">
    <w:p w14:paraId="54C1B9E0" w14:textId="06EA780B" w:rsidR="00287B91" w:rsidRPr="00481B2E" w:rsidRDefault="00287B91">
      <w:pPr>
        <w:pStyle w:val="EndnoteText"/>
        <w:rPr>
          <w:lang w:val="en-GB"/>
        </w:rPr>
      </w:pPr>
      <w:r>
        <w:rPr>
          <w:rStyle w:val="EndnoteReference"/>
        </w:rPr>
        <w:endnoteRef/>
      </w:r>
      <w:r>
        <w:t xml:space="preserve"> </w:t>
      </w:r>
      <w:r w:rsidRPr="00481B2E">
        <w:t>Y. Xue, J. Li, Y. Wang, K. Xu, Z. Xing, K. S. Wong, H. K. Tsang, K. M. Lau, In-Plane 1.5 µm Distributed Feedback Lasers Selectively Grown on (001) SOI. Laser Photonics Rev 2024, 18, 2300549. https://doi.org/10.1002/lpor.202300549</w:t>
      </w:r>
    </w:p>
  </w:endnote>
  <w:endnote w:id="7">
    <w:p w14:paraId="46A899EE" w14:textId="77777777" w:rsidR="00287B91" w:rsidRDefault="00287B91" w:rsidP="009E752B">
      <w:pPr>
        <w:pStyle w:val="EndnoteText"/>
      </w:pPr>
      <w:r>
        <w:rPr>
          <w:rStyle w:val="EndnoteReference"/>
        </w:rPr>
        <w:endnoteRef/>
      </w:r>
      <w:r>
        <w:t xml:space="preserve"> </w:t>
      </w:r>
      <w:r w:rsidRPr="00115506">
        <w:t>J. Faist, F. Capasso, D. L. Sivco, C. Sirtori et al., "Quantum cascade laser," Science, Article vol. 264, no. 5158, pp. 553-556, 1994.</w:t>
      </w:r>
    </w:p>
  </w:endnote>
  <w:endnote w:id="8">
    <w:p w14:paraId="16B2389F" w14:textId="77777777" w:rsidR="00287B91" w:rsidRDefault="00287B91" w:rsidP="0049745B">
      <w:pPr>
        <w:pStyle w:val="EndnoteText"/>
      </w:pPr>
      <w:r>
        <w:rPr>
          <w:rStyle w:val="EndnoteReference"/>
        </w:rPr>
        <w:endnoteRef/>
      </w:r>
      <w:r>
        <w:t xml:space="preserve"> Us APL Photonics</w:t>
      </w:r>
    </w:p>
  </w:endnote>
  <w:endnote w:id="9">
    <w:p w14:paraId="3B4E0A55" w14:textId="56F9D956" w:rsidR="00287B91" w:rsidRPr="00A56C49" w:rsidRDefault="00287B91">
      <w:pPr>
        <w:pStyle w:val="EndnoteText"/>
        <w:rPr>
          <w:lang w:val="en-GB"/>
        </w:rPr>
      </w:pPr>
      <w:r>
        <w:rPr>
          <w:rStyle w:val="EndnoteReference"/>
        </w:rPr>
        <w:endnoteRef/>
      </w:r>
      <w:r>
        <w:t xml:space="preserve"> </w:t>
      </w:r>
      <w:r w:rsidRPr="00A56C49">
        <w:t>Soref, R. Mid-infrared photonics in silicon and germanium. Nature Photon 4, 495–497 (2010). https://doi.org/10.1038/nphoton.2010.171</w:t>
      </w:r>
    </w:p>
  </w:endnote>
  <w:endnote w:id="10">
    <w:p w14:paraId="6ADFF746" w14:textId="77777777" w:rsidR="00287B91" w:rsidRPr="00733495" w:rsidRDefault="00287B91" w:rsidP="002137A5">
      <w:pPr>
        <w:pStyle w:val="EndnoteText"/>
        <w:rPr>
          <w:lang w:val="en-GB"/>
        </w:rPr>
      </w:pPr>
      <w:r>
        <w:rPr>
          <w:rStyle w:val="EndnoteReference"/>
        </w:rPr>
        <w:endnoteRef/>
      </w:r>
      <w:r>
        <w:t xml:space="preserve"> </w:t>
      </w:r>
      <w:r w:rsidRPr="00695A94">
        <w:rPr>
          <w:lang w:val="en-GB"/>
        </w:rPr>
        <w:t>Jang SH, Yan Z, Lazor JA. Therapeutic drug monitoring: A patient</w:t>
      </w:r>
      <w:r>
        <w:rPr>
          <w:lang w:val="en-GB"/>
        </w:rPr>
        <w:t xml:space="preserve"> </w:t>
      </w:r>
      <w:r w:rsidRPr="00695A94">
        <w:rPr>
          <w:lang w:val="en-GB"/>
        </w:rPr>
        <w:t>management tool for precision medicine. Clin Pharmacol Ther 2016;</w:t>
      </w:r>
      <w:r>
        <w:rPr>
          <w:lang w:val="en-GB"/>
        </w:rPr>
        <w:t xml:space="preserve"> </w:t>
      </w:r>
      <w:r w:rsidRPr="00695A94">
        <w:rPr>
          <w:lang w:val="en-GB"/>
        </w:rPr>
        <w:t>99: 148–150</w:t>
      </w:r>
      <w:r>
        <w:rPr>
          <w:lang w:val="en-GB"/>
        </w:rPr>
        <w:t xml:space="preserve">; </w:t>
      </w:r>
      <w:r w:rsidRPr="00695A94">
        <w:rPr>
          <w:lang w:val="en-GB"/>
        </w:rPr>
        <w:t>DOI: 10.1002/cpt.298</w:t>
      </w:r>
      <w:r>
        <w:rPr>
          <w:lang w:val="en-GB"/>
        </w:rPr>
        <w:t xml:space="preserve"> </w:t>
      </w:r>
    </w:p>
  </w:endnote>
  <w:endnote w:id="11">
    <w:p w14:paraId="2D1E2A2C" w14:textId="77777777" w:rsidR="00287B91" w:rsidRPr="0047260C" w:rsidRDefault="00287B91" w:rsidP="002137A5">
      <w:pPr>
        <w:pStyle w:val="EndnoteText"/>
        <w:rPr>
          <w:lang w:val="en-GB"/>
        </w:rPr>
      </w:pPr>
      <w:r>
        <w:rPr>
          <w:rStyle w:val="EndnoteReference"/>
        </w:rPr>
        <w:endnoteRef/>
      </w:r>
      <w:r>
        <w:t xml:space="preserve"> </w:t>
      </w:r>
      <w:r w:rsidRPr="0047260C">
        <w:t>Hiemke C, Bergemann N, Clement HW, Conca A, Deckert J, Domschke K, Eckermann G, Egberts K, Gerlach M, Greiner C, Gründer G, Haen E, Havemann-Reinecke U, Hefner G, Helmer R, Janssen G, Jaquenoud E, Laux G, Messer T, Mössner R, Müller MJ, Paulzen M, Pfuhlmann B, Riederer P, Saria A, Schoppek B, Schoretsanitis G, Schwarz M, Gracia MS, Stegmann B, Steimer W, Stingl JC, Uhr M, Ulrich S, Unterecker S, Waschgler R, Zernig G, Zurek G, Baumann P. Consensus Guidelines for Therapeutic Drug Monitoring in Neuropsychopharmacology: Update 2017. Pharmacopsychiatry. 2018 Jan;51(1-02):9-62. doi: 10.1055/s-0043-116492. Epub 2017 Sep 14. Erratum in: Pharmacopsychiatry. 2018 Jan;51(1-02):e1. doi: 10.1055/s-0037-1600991. PMID: 28910830.</w:t>
      </w:r>
    </w:p>
  </w:endnote>
  <w:endnote w:id="12">
    <w:p w14:paraId="7944A9A1" w14:textId="77777777" w:rsidR="00287B91" w:rsidRPr="008C6D13" w:rsidRDefault="00287B91" w:rsidP="002137A5">
      <w:pPr>
        <w:pStyle w:val="EndnoteText"/>
        <w:rPr>
          <w:lang w:val="en-GB"/>
        </w:rPr>
      </w:pPr>
      <w:r>
        <w:rPr>
          <w:rStyle w:val="EndnoteReference"/>
        </w:rPr>
        <w:endnoteRef/>
      </w:r>
      <w:r>
        <w:t xml:space="preserve"> Kozer E, Parvez S, Minassian BA et al. How high can we go with phenytoin? Ther Drug Monit 2002; 24: 386–389</w:t>
      </w:r>
    </w:p>
  </w:endnote>
  <w:endnote w:id="13">
    <w:p w14:paraId="5A2C88E9" w14:textId="77777777" w:rsidR="00287B91" w:rsidRPr="00733495" w:rsidRDefault="00287B91" w:rsidP="002137A5">
      <w:pPr>
        <w:pStyle w:val="EndnoteText"/>
        <w:rPr>
          <w:lang w:val="en-GB"/>
        </w:rPr>
      </w:pPr>
      <w:r>
        <w:rPr>
          <w:rStyle w:val="EndnoteReference"/>
        </w:rPr>
        <w:endnoteRef/>
      </w:r>
      <w:r>
        <w:t xml:space="preserve"> </w:t>
      </w:r>
      <w:r w:rsidRPr="00733495">
        <w:t>Zheng, B., Li, W., Li, H. et al. Separation and determination of estrogen in the water environment by high performance liquid chromatography-fourier transform infrared spectroscopy. Sci Rep 6, 32264 (2016). https://doi.org/10.1038/srep32264</w:t>
      </w:r>
    </w:p>
  </w:endnote>
  <w:endnote w:id="14">
    <w:p w14:paraId="798D438F" w14:textId="77777777" w:rsidR="00287B91" w:rsidRPr="002F5FF2" w:rsidRDefault="00287B91" w:rsidP="002137A5">
      <w:pPr>
        <w:pStyle w:val="EndnoteText"/>
        <w:rPr>
          <w:lang w:val="en-GB"/>
        </w:rPr>
      </w:pPr>
      <w:r>
        <w:rPr>
          <w:rStyle w:val="EndnoteReference"/>
        </w:rPr>
        <w:endnoteRef/>
      </w:r>
      <w:r>
        <w:t xml:space="preserve"> </w:t>
      </w:r>
      <w:r w:rsidRPr="002F5FF2">
        <w:t>Diamantopoulou, Z., Castro-Giner, F., Schwab, F.D. et al. The metastatic spread of breast cancer accelerates during sle</w:t>
      </w:r>
      <w:r>
        <w:t xml:space="preserve">ep. Nature 607, 156–162 (2022). </w:t>
      </w:r>
      <w:r w:rsidRPr="002F5FF2">
        <w:t>doi.org/10.1038/s41586-022-04875-y</w:t>
      </w:r>
    </w:p>
  </w:endnote>
  <w:endnote w:id="15">
    <w:p w14:paraId="7D406682" w14:textId="5C6738C6" w:rsidR="00287B91" w:rsidRPr="002B1B31" w:rsidRDefault="00287B91">
      <w:pPr>
        <w:pStyle w:val="EndnoteText"/>
        <w:rPr>
          <w:lang w:val="en-GB"/>
        </w:rPr>
      </w:pPr>
      <w:r w:rsidRPr="00143BA8">
        <w:rPr>
          <w:rStyle w:val="EndnoteReference"/>
          <w:highlight w:val="yellow"/>
        </w:rPr>
        <w:endnoteRef/>
      </w:r>
      <w:r w:rsidRPr="00143BA8">
        <w:rPr>
          <w:highlight w:val="yellow"/>
        </w:rPr>
        <w:t xml:space="preserve"> </w:t>
      </w:r>
      <w:r w:rsidRPr="00143BA8">
        <w:rPr>
          <w:highlight w:val="yellow"/>
          <w:lang w:val="en-GB"/>
        </w:rPr>
        <w:t>Rand</w:t>
      </w:r>
    </w:p>
  </w:endnote>
  <w:endnote w:id="16">
    <w:p w14:paraId="54224CB6" w14:textId="1B4DF31F" w:rsidR="00287B91" w:rsidRDefault="00287B91" w:rsidP="0032206D">
      <w:pPr>
        <w:pStyle w:val="EndnoteText"/>
      </w:pPr>
      <w:r>
        <w:rPr>
          <w:rStyle w:val="EndnoteReference"/>
        </w:rPr>
        <w:endnoteRef/>
      </w:r>
      <w:r>
        <w:t xml:space="preserve"> A. Spott, J. Peters, M. Davenport, E. Stanton, C. Merritt, W. Bewley, I. Vurgaftman, C. Kim, J. Meyer, J. Kirch, L. Mawst, D. Botez, and J. Bowers, "Quantum cascade laser on silicon," Optica  3, 545-551 (2016).</w:t>
      </w:r>
    </w:p>
  </w:endnote>
  <w:endnote w:id="17">
    <w:p w14:paraId="067A2356" w14:textId="77777777" w:rsidR="00287B91" w:rsidRPr="00820D95" w:rsidRDefault="00287B91" w:rsidP="008C60EC">
      <w:pPr>
        <w:pStyle w:val="EndnoteText"/>
        <w:rPr>
          <w:lang w:val="en-GB"/>
        </w:rPr>
      </w:pPr>
      <w:r>
        <w:rPr>
          <w:rStyle w:val="EndnoteReference"/>
        </w:rPr>
        <w:endnoteRef/>
      </w:r>
      <w:r>
        <w:t xml:space="preserve">  Eric J. Stanton, Alexander Spott, Jon Peters, Michael L. Davenport, Aditya Malik, Nicolas Volet, Junqian Liu, Charles D. Merritt, Igor Vurgaftman, Chul Soo Kim, Jerry R. Meyer and John E. Bowers “</w:t>
      </w:r>
      <w:r w:rsidRPr="00DC06CE">
        <w:t>Multi-Spectral Quantum Cascade Lasers on Silicon With Integrated Multiplexers</w:t>
      </w:r>
      <w:r>
        <w:t xml:space="preserve">” </w:t>
      </w:r>
      <w:r w:rsidRPr="00DC06CE">
        <w:t>Photonics 2019, 6(1), 6; https://doi.org/10.3390/photonics6010006</w:t>
      </w:r>
    </w:p>
  </w:endnote>
  <w:endnote w:id="18">
    <w:p w14:paraId="2CE1F885" w14:textId="77777777" w:rsidR="00287B91" w:rsidRDefault="00287B91" w:rsidP="00182775">
      <w:pPr>
        <w:pStyle w:val="EndnoteText"/>
      </w:pPr>
      <w:r>
        <w:rPr>
          <w:rStyle w:val="EndnoteReference"/>
        </w:rPr>
        <w:endnoteRef/>
      </w:r>
      <w:r>
        <w:t xml:space="preserve"> Nguyen-Van, H., Baranov, A.N., Loghmari, Z. </w:t>
      </w:r>
      <w:r>
        <w:rPr>
          <w:i/>
          <w:iCs/>
        </w:rPr>
        <w:t>et al.</w:t>
      </w:r>
      <w:r>
        <w:t xml:space="preserve"> Quantum cascade lasers grown on silicon. </w:t>
      </w:r>
      <w:r>
        <w:rPr>
          <w:i/>
          <w:iCs/>
        </w:rPr>
        <w:t>Sci Rep</w:t>
      </w:r>
      <w:r>
        <w:t xml:space="preserve"> </w:t>
      </w:r>
      <w:r>
        <w:rPr>
          <w:b/>
          <w:bCs/>
        </w:rPr>
        <w:t>8</w:t>
      </w:r>
      <w:r>
        <w:t>, 7206 (2018). https://doi.org/10.1038/s41598-018-24723-2</w:t>
      </w:r>
    </w:p>
  </w:endnote>
  <w:endnote w:id="19">
    <w:p w14:paraId="7F63E006" w14:textId="54294DF3" w:rsidR="00287B91" w:rsidRPr="00115506" w:rsidRDefault="00287B91">
      <w:pPr>
        <w:pStyle w:val="EndnoteText"/>
        <w:rPr>
          <w:lang w:val="en-GB"/>
        </w:rPr>
      </w:pPr>
      <w:r>
        <w:rPr>
          <w:rStyle w:val="EndnoteReference"/>
        </w:rPr>
        <w:endnoteRef/>
      </w:r>
      <w:r>
        <w:t xml:space="preserve"> </w:t>
      </w:r>
      <w:r w:rsidRPr="00B82610">
        <w:t xml:space="preserve">R. Q. Yang, "Infrared laser based on intersubband transitions in quantum wells," </w:t>
      </w:r>
      <w:r w:rsidRPr="00B82610">
        <w:rPr>
          <w:i/>
        </w:rPr>
        <w:t xml:space="preserve">Superlattices and Microstructures, </w:t>
      </w:r>
      <w:r w:rsidRPr="00B82610">
        <w:t>Article vol. 17, no. 1, pp. 77-83, 1995, doi: 10.1006/spmi.1995.1017.</w:t>
      </w:r>
    </w:p>
  </w:endnote>
  <w:endnote w:id="20">
    <w:p w14:paraId="0E297D47" w14:textId="77777777" w:rsidR="00287B91" w:rsidRDefault="00287B91" w:rsidP="00B77C70">
      <w:pPr>
        <w:pStyle w:val="EndnoteText"/>
      </w:pPr>
      <w:r>
        <w:rPr>
          <w:rStyle w:val="EndnoteReference"/>
        </w:rPr>
        <w:endnoteRef/>
      </w:r>
      <w:r>
        <w:t xml:space="preserve"> A. Malik et al., "Integration of Mid-Infrared Light Sources on Silicon-Based Waveguide Platforms in 3.5–4.7 μm Wavelength Range," in IEEE Journal of Selected Topics in Quantum Electronics, vol. 25, no. 6, pp. 1-9, Nov.-Dec. 2019, Art no. 1502809, doi: 10.1109/JSTQE.2019.2949453.</w:t>
      </w:r>
    </w:p>
  </w:endnote>
  <w:endnote w:id="21">
    <w:p w14:paraId="0047B852" w14:textId="35D5DFCA" w:rsidR="00287B91" w:rsidRPr="000D20F7" w:rsidRDefault="00287B91">
      <w:pPr>
        <w:pStyle w:val="EndnoteText"/>
        <w:rPr>
          <w:lang w:val="en-GB"/>
        </w:rPr>
      </w:pPr>
      <w:r>
        <w:rPr>
          <w:rStyle w:val="EndnoteReference"/>
        </w:rPr>
        <w:endnoteRef/>
      </w:r>
      <w:r>
        <w:t xml:space="preserve"> </w:t>
      </w:r>
      <w:r w:rsidRPr="000D20F7">
        <w:t>Maeva Fagot, Daniel A. Díaz-Thomas, Audrey Gilbert, Gad Kombila, Michel Ramonda, Yves Rouillard, Alexei N. Baranov, Jean-Baptiste Rodriguez, Eric Tournié, and Laurent Cerutti, "Interband cascade lasers grown simultaneously on GaSb, GaAs and Si substrates," Opt. Express 32, 11057-11064 (2024)</w:t>
      </w:r>
    </w:p>
  </w:endnote>
  <w:endnote w:id="22">
    <w:p w14:paraId="28C8BFD0" w14:textId="01DF0CD5" w:rsidR="00287B91" w:rsidRPr="003B6355" w:rsidRDefault="00287B91">
      <w:pPr>
        <w:pStyle w:val="EndnoteText"/>
        <w:rPr>
          <w:lang w:val="en-GB"/>
        </w:rPr>
      </w:pPr>
      <w:r>
        <w:rPr>
          <w:rStyle w:val="EndnoteReference"/>
        </w:rPr>
        <w:endnoteRef/>
      </w:r>
      <w:r>
        <w:t xml:space="preserve"> </w:t>
      </w:r>
      <w:r w:rsidRPr="003B6355">
        <w:t>S. Slivken and M. Razeghi, "High Power, Room Temperature InP-Based Quantum Cascade Laser Grown on Si," in IEEE Journal of Quantum Electronics, vol. 58, no. 6, pp. 1-6, Dec. 2022, Art no. 2300206, doi: 10.1109/JQE.2022.3212052</w:t>
      </w:r>
    </w:p>
  </w:endnote>
  <w:endnote w:id="23">
    <w:p w14:paraId="33A45A2F" w14:textId="77777777" w:rsidR="00FE6E2B" w:rsidRPr="00116B92" w:rsidRDefault="00FE6E2B" w:rsidP="00FE6E2B">
      <w:pPr>
        <w:pStyle w:val="EndnoteText"/>
        <w:rPr>
          <w:lang w:val="en-GB"/>
        </w:rPr>
      </w:pPr>
      <w:r>
        <w:rPr>
          <w:rStyle w:val="EndnoteReference"/>
        </w:rPr>
        <w:endnoteRef/>
      </w:r>
      <w:r>
        <w:t xml:space="preserve"> </w:t>
      </w:r>
      <w:r w:rsidRPr="00116B92">
        <w:t xml:space="preserve">Andres Remis, Laura Monge-Bartolomé, Guilhem Boissier, Mounir Waguaf, Jean-Baptiste Rodriguez, Laurent Cerutti, Eric Tournié; Effect of dislocations on the performance of GaSb-based diode lasers grown on silicon. J. Appl. Phys. 7 March 2023; 133 (9): 093103. </w:t>
      </w:r>
      <w:hyperlink r:id="rId1" w:history="1">
        <w:r w:rsidRPr="00FC1B99">
          <w:rPr>
            <w:rStyle w:val="Hyperlink"/>
          </w:rPr>
          <w:t>https://doi.org/10.1063/5.0135606</w:t>
        </w:r>
      </w:hyperlink>
    </w:p>
  </w:endnote>
  <w:endnote w:id="24">
    <w:p w14:paraId="0BA3E470" w14:textId="77777777" w:rsidR="002A496A" w:rsidRPr="000D20F7" w:rsidRDefault="002A496A" w:rsidP="002A496A">
      <w:pPr>
        <w:pStyle w:val="EndnoteText"/>
        <w:rPr>
          <w:lang w:val="en-GB"/>
        </w:rPr>
      </w:pPr>
      <w:r>
        <w:rPr>
          <w:rStyle w:val="EndnoteReference"/>
        </w:rPr>
        <w:endnoteRef/>
      </w:r>
      <w:r>
        <w:t xml:space="preserve"> </w:t>
      </w:r>
      <w:r w:rsidRPr="000D20F7">
        <w:t xml:space="preserve">Remis, A., Monge-Bartolome, L., Paparella, M. et al. Unlocking the monolithic integration scenario: optical coupling between GaSb diode lasers epitaxially grown on patterned Si substrates and passive SiN waveguides. Light Sci Appl 12, 150 (2023). </w:t>
      </w:r>
      <w:hyperlink r:id="rId2" w:history="1">
        <w:r w:rsidRPr="00FC1B99">
          <w:rPr>
            <w:rStyle w:val="Hyperlink"/>
          </w:rPr>
          <w:t>https://doi.org/10.1038/s41377-023-01185-4</w:t>
        </w:r>
      </w:hyperlink>
    </w:p>
  </w:endnote>
  <w:endnote w:id="25">
    <w:p w14:paraId="1BFFA327" w14:textId="24C580C3" w:rsidR="00287B91" w:rsidRDefault="00287B91" w:rsidP="00FB406E">
      <w:pPr>
        <w:pStyle w:val="EndnoteText"/>
      </w:pPr>
      <w:r>
        <w:rPr>
          <w:rStyle w:val="EndnoteReference"/>
        </w:rPr>
        <w:endnoteRef/>
      </w:r>
      <w:r>
        <w:t xml:space="preserve"> Wang, D.; Kannojia, H.K.; Jouy, P.; Giraud, E.; Suter, K.; Maulini, R.; Gachet, D.; Hetier, L.; Van Steenberge, G.; Kuyken, B. “Innovative Integration of Dual Quantum Cascade</w:t>
      </w:r>
    </w:p>
    <w:p w14:paraId="281B4852" w14:textId="06495396" w:rsidR="00287B91" w:rsidRPr="00FB406E" w:rsidRDefault="00287B91" w:rsidP="00FB406E">
      <w:pPr>
        <w:pStyle w:val="EndnoteText"/>
        <w:rPr>
          <w:lang w:val="en-GB"/>
        </w:rPr>
      </w:pPr>
      <w:r>
        <w:t>Lasers on Silicon Photonics Platform.” Micromachines 2024, 15, 1055. doi.org/10.3390/mi15081055</w:t>
      </w:r>
    </w:p>
  </w:endnote>
  <w:endnote w:id="26">
    <w:p w14:paraId="521D1724" w14:textId="17E8F4ED" w:rsidR="00287B91" w:rsidRPr="00FB406E" w:rsidRDefault="00287B91" w:rsidP="00FB406E">
      <w:pPr>
        <w:pStyle w:val="EndnoteText"/>
        <w:rPr>
          <w:lang w:val="en-GB"/>
        </w:rPr>
      </w:pPr>
      <w:r>
        <w:rPr>
          <w:rStyle w:val="EndnoteReference"/>
        </w:rPr>
        <w:endnoteRef/>
      </w:r>
      <w:r>
        <w:t xml:space="preserve"> Martin et al Proceedings of Electronic Components and Technology Conference (ECTC), 2019 IEEE 69th   DOI 10.1109/ECTC.2019.00086</w:t>
      </w:r>
    </w:p>
  </w:endnote>
  <w:endnote w:id="27">
    <w:p w14:paraId="76399883" w14:textId="3F70BAE8" w:rsidR="00287B91" w:rsidRPr="00FB406E" w:rsidRDefault="00287B91" w:rsidP="00FB406E">
      <w:pPr>
        <w:pStyle w:val="EndnoteText"/>
        <w:rPr>
          <w:lang w:val="en-GB"/>
        </w:rPr>
      </w:pPr>
      <w:r>
        <w:rPr>
          <w:rStyle w:val="EndnoteReference"/>
        </w:rPr>
        <w:endnoteRef/>
      </w:r>
      <w:r>
        <w:t xml:space="preserve"> Martin et al Proceedings of Electronic Components and Technology Conference (ECTC), 2019 IEEE 69th   DOI 10.1109/ECTC.2019.00166</w:t>
      </w:r>
    </w:p>
  </w:endnote>
  <w:endnote w:id="28">
    <w:p w14:paraId="40E89FA7" w14:textId="77777777" w:rsidR="00287B91" w:rsidRPr="00CF42E6" w:rsidRDefault="00287B91" w:rsidP="00683611">
      <w:pPr>
        <w:pStyle w:val="EndnoteText"/>
        <w:rPr>
          <w:lang w:val="en-GB"/>
        </w:rPr>
      </w:pPr>
      <w:r>
        <w:rPr>
          <w:rStyle w:val="EndnoteReference"/>
        </w:rPr>
        <w:endnoteRef/>
      </w:r>
      <w:r>
        <w:t xml:space="preserve"> </w:t>
      </w:r>
      <w:r w:rsidRPr="00875F2C">
        <w:t>Colin J. Mitchell, Ahmed Osman, Ke Li, Jordi S. Panadés, Milos Nedeljkovic, Longqi Zhou, Kristian M. Groom, Jon Heffernan, Goran Mashanovich</w:t>
      </w:r>
      <w:r>
        <w:t>, “</w:t>
      </w:r>
      <w:r w:rsidRPr="00CF42E6">
        <w:t>Hybrid integration methodology for quantum cascade lasers w</w:t>
      </w:r>
      <w:r>
        <w:t>ith germanium waveguides in mid-</w:t>
      </w:r>
      <w:r w:rsidRPr="00CF42E6">
        <w:t>IR</w:t>
      </w:r>
      <w:r>
        <w:t xml:space="preserve">” EPJ Web Conf. Volume 266, 2022, EOS Annual Meeting (EOSAM 2022), 01008, </w:t>
      </w:r>
      <w:r w:rsidRPr="00CF42E6">
        <w:t>doi.org/10.1051/epjconf/202226601008</w:t>
      </w:r>
    </w:p>
  </w:endnote>
  <w:endnote w:id="29">
    <w:p w14:paraId="374196FF" w14:textId="77777777" w:rsidR="00287B91" w:rsidRPr="00875F2C" w:rsidRDefault="00287B91" w:rsidP="00683611">
      <w:pPr>
        <w:pStyle w:val="EndnoteText"/>
        <w:rPr>
          <w:lang w:val="en-GB"/>
        </w:rPr>
      </w:pPr>
      <w:r>
        <w:rPr>
          <w:rStyle w:val="EndnoteReference"/>
        </w:rPr>
        <w:endnoteRef/>
      </w:r>
      <w:r>
        <w:t xml:space="preserve"> </w:t>
      </w:r>
      <w:r w:rsidRPr="00875F2C">
        <w:t>Colin J. Mitchell, Ahmed Osman, Ke Li, Jordi S. Panadés, Milos Nedeljkovic, Longqi Zhou, Kristian M. Groom, Jon Heffernan, Goran Mashanovich</w:t>
      </w:r>
      <w:r>
        <w:t>, “</w:t>
      </w:r>
      <w:r w:rsidRPr="00875F2C">
        <w:t>Hybrid laser integration in the mid-IR for silicon photonics sensing applications</w:t>
      </w:r>
      <w:r>
        <w:t xml:space="preserve">” </w:t>
      </w:r>
      <w:r w:rsidRPr="00875F2C">
        <w:t>Proceedings of SPIE - The International Society for Optical Engineering</w:t>
      </w:r>
      <w:r>
        <w:t xml:space="preserve">, </w:t>
      </w:r>
      <w:r w:rsidRPr="00875F2C">
        <w:t>Volume 124262023 Article number 1242608Silicon Photonics XVIII 2023</w:t>
      </w:r>
      <w:r>
        <w:t>;</w:t>
      </w:r>
      <w:r w:rsidRPr="00875F2C">
        <w:t xml:space="preserve"> </w:t>
      </w:r>
      <w:r>
        <w:t>DOI: 10.1117/12.2650054</w:t>
      </w:r>
    </w:p>
  </w:endnote>
  <w:endnote w:id="30">
    <w:p w14:paraId="30853CE0" w14:textId="0B85204F" w:rsidR="00287B91" w:rsidRPr="0087686A" w:rsidRDefault="00287B91">
      <w:pPr>
        <w:pStyle w:val="EndnoteText"/>
        <w:rPr>
          <w:lang w:val="en-GB"/>
        </w:rPr>
      </w:pPr>
      <w:r>
        <w:rPr>
          <w:rStyle w:val="EndnoteReference"/>
        </w:rPr>
        <w:endnoteRef/>
      </w:r>
      <w:r>
        <w:t xml:space="preserve"> </w:t>
      </w:r>
      <w:r w:rsidRPr="0087686A">
        <w:t>C. J. Mitchell et al., "Tooling and procedures for hybrid integration of lasers by flip-chip technology," 2020 IEEE 8th Electronics System-Integration Technology Conference (ESTC), Tønsberg, Norway, 2020, pp. 1-7, doi: 10.1109/ESTC48849.2020.9229661.</w:t>
      </w:r>
    </w:p>
  </w:endnote>
  <w:endnote w:id="31">
    <w:p w14:paraId="68B692BD" w14:textId="53C1CCA5" w:rsidR="00287B91" w:rsidRPr="00EE4B32" w:rsidRDefault="00287B91">
      <w:pPr>
        <w:pStyle w:val="EndnoteText"/>
        <w:rPr>
          <w:lang w:val="en-GB"/>
        </w:rPr>
      </w:pPr>
      <w:r>
        <w:rPr>
          <w:rStyle w:val="EndnoteReference"/>
        </w:rPr>
        <w:endnoteRef/>
      </w:r>
      <w:r>
        <w:t xml:space="preserve"> </w:t>
      </w:r>
      <w:r w:rsidRPr="00EE4B32">
        <w:t>B. G. Lee et al., "DFB Quantum Cascade Laser Arrays," in IEEE Journal of Quantum Electronics, vol. 45, no. 5, pp. 554-565, May 2009, doi: 10.1109/JQE.2009.2013175</w:t>
      </w:r>
    </w:p>
  </w:endnote>
  <w:endnote w:id="32">
    <w:p w14:paraId="4421F9EE" w14:textId="77777777" w:rsidR="00287B91" w:rsidRDefault="00287B91" w:rsidP="00993C47">
      <w:pPr>
        <w:pStyle w:val="EndnoteText"/>
      </w:pPr>
      <w:r w:rsidRPr="00143BA8">
        <w:rPr>
          <w:rStyle w:val="EndnoteReference"/>
          <w:highlight w:val="yellow"/>
        </w:rPr>
        <w:endnoteRef/>
      </w:r>
      <w:r w:rsidRPr="00143BA8">
        <w:rPr>
          <w:highlight w:val="yellow"/>
        </w:rPr>
        <w:t xml:space="preserve"> Gates/Glenn</w:t>
      </w:r>
    </w:p>
  </w:endnote>
  <w:endnote w:id="33">
    <w:p w14:paraId="3A169F4A" w14:textId="5F5D3844" w:rsidR="00D93F2E" w:rsidRPr="00D93F2E" w:rsidRDefault="00D93F2E">
      <w:pPr>
        <w:pStyle w:val="EndnoteText"/>
        <w:rPr>
          <w:lang w:val="en-GB"/>
        </w:rPr>
      </w:pPr>
      <w:r>
        <w:rPr>
          <w:rStyle w:val="EndnoteReference"/>
        </w:rPr>
        <w:endnoteRef/>
      </w:r>
      <w:r>
        <w:t xml:space="preserve"> </w:t>
      </w:r>
      <w:r w:rsidRPr="00D93F2E">
        <w:t>M. Nedeljkovic, J. S. Penades, V. Mittal, G. S. Murugan et al., "Germanium-on-silicon waveguides operating at mid-infrared wavelengths up to 8.5 µm," Optics Express, vol. 25, no. 22, pp. 27431-27441, 2017/10/30 2017, doi: 10.1364/OE.25.027431.</w:t>
      </w:r>
    </w:p>
  </w:endnote>
  <w:endnote w:id="34">
    <w:p w14:paraId="10F8C603" w14:textId="77777777" w:rsidR="00287B91" w:rsidRDefault="00287B91" w:rsidP="00BF7ACB">
      <w:pPr>
        <w:pStyle w:val="EndnoteText"/>
      </w:pPr>
      <w:r>
        <w:rPr>
          <w:rStyle w:val="EndnoteReference"/>
        </w:rPr>
        <w:endnoteRef/>
      </w:r>
      <w:r>
        <w:t xml:space="preserve"> </w:t>
      </w:r>
      <w:r w:rsidRPr="004603F4">
        <w:rPr>
          <w:rFonts w:ascii="Times New Roman" w:hAnsi="Times New Roman" w:cs="Times New Roman"/>
        </w:rPr>
        <w:t>J.W. Ronnie Teo, F.L. Ng , L.S. Kip Goi, Y.F. Sun, Z.F. Wang, X.Q. Shi, J. Wei, G.Y. Li, “Microstructure of eutectic 80Au/20Sn solder joint in laser diode package” Microelectronic Engineering, vol 85, issue 3, pp 512-517, March 2008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dvOT9cb306be.B">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862CB2" w14:textId="77777777" w:rsidR="00374E53" w:rsidRDefault="00374E53" w:rsidP="00E0037E">
      <w:pPr>
        <w:spacing w:after="0" w:line="240" w:lineRule="auto"/>
      </w:pPr>
      <w:r>
        <w:separator/>
      </w:r>
    </w:p>
  </w:footnote>
  <w:footnote w:type="continuationSeparator" w:id="0">
    <w:p w14:paraId="3BBD5558" w14:textId="77777777" w:rsidR="00374E53" w:rsidRDefault="00374E53" w:rsidP="00E003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multilevel"/>
    <w:tmpl w:val="03017EF2"/>
    <w:lvl w:ilvl="0">
      <w:start w:val="1"/>
      <w:numFmt w:val="decimal"/>
      <w:pStyle w:val="OSAReference"/>
      <w:suff w:val="space"/>
      <w:lvlText w:val="%1."/>
      <w:lvlJc w:val="left"/>
      <w:pPr>
        <w:ind w:left="360"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EF7D92"/>
    <w:multiLevelType w:val="multilevel"/>
    <w:tmpl w:val="4A5E7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772220"/>
    <w:multiLevelType w:val="hybridMultilevel"/>
    <w:tmpl w:val="4C54C734"/>
    <w:lvl w:ilvl="0" w:tplc="D04ED72E">
      <w:start w:val="1"/>
      <w:numFmt w:val="decimal"/>
      <w:pStyle w:val="26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AD2536C"/>
    <w:multiLevelType w:val="hybridMultilevel"/>
    <w:tmpl w:val="4894C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E6C5B4E"/>
    <w:multiLevelType w:val="hybridMultilevel"/>
    <w:tmpl w:val="1DD27F3C"/>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9" w15:restartNumberingAfterBreak="0">
    <w:nsid w:val="549929DE"/>
    <w:multiLevelType w:val="hybridMultilevel"/>
    <w:tmpl w:val="D6FE65AC"/>
    <w:lvl w:ilvl="0" w:tplc="FB5EEEB8">
      <w:start w:val="1"/>
      <w:numFmt w:val="decimal"/>
      <w:pStyle w:val="19ListNumber1"/>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41536E1"/>
    <w:multiLevelType w:val="hybridMultilevel"/>
    <w:tmpl w:val="26F4E838"/>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23"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5"/>
  </w:num>
  <w:num w:numId="2">
    <w:abstractNumId w:val="21"/>
  </w:num>
  <w:num w:numId="3">
    <w:abstractNumId w:val="13"/>
  </w:num>
  <w:num w:numId="4">
    <w:abstractNumId w:val="17"/>
  </w:num>
  <w:num w:numId="5">
    <w:abstractNumId w:val="12"/>
  </w:num>
  <w:num w:numId="6">
    <w:abstractNumId w:val="20"/>
  </w:num>
  <w:num w:numId="7">
    <w:abstractNumId w:val="19"/>
  </w:num>
  <w:num w:numId="8">
    <w:abstractNumId w:val="24"/>
  </w:num>
  <w:num w:numId="9">
    <w:abstractNumId w:val="11"/>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3"/>
  </w:num>
  <w:num w:numId="21">
    <w:abstractNumId w:val="14"/>
  </w:num>
  <w:num w:numId="22">
    <w:abstractNumId w:val="10"/>
  </w:num>
  <w:num w:numId="23">
    <w:abstractNumId w:val="16"/>
  </w:num>
  <w:num w:numId="24">
    <w:abstractNumId w:val="22"/>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663"/>
    <w:rsid w:val="000026D0"/>
    <w:rsid w:val="00002E70"/>
    <w:rsid w:val="00004A78"/>
    <w:rsid w:val="00010EF0"/>
    <w:rsid w:val="000112C0"/>
    <w:rsid w:val="00014B0F"/>
    <w:rsid w:val="00022A47"/>
    <w:rsid w:val="00022D16"/>
    <w:rsid w:val="00025EED"/>
    <w:rsid w:val="00025EFB"/>
    <w:rsid w:val="00034AD8"/>
    <w:rsid w:val="00036639"/>
    <w:rsid w:val="000366A8"/>
    <w:rsid w:val="0004068C"/>
    <w:rsid w:val="000615EE"/>
    <w:rsid w:val="00061BBE"/>
    <w:rsid w:val="00062D82"/>
    <w:rsid w:val="00076224"/>
    <w:rsid w:val="00077F25"/>
    <w:rsid w:val="00086BC8"/>
    <w:rsid w:val="00092896"/>
    <w:rsid w:val="000967B0"/>
    <w:rsid w:val="000A1A24"/>
    <w:rsid w:val="000A664E"/>
    <w:rsid w:val="000B0402"/>
    <w:rsid w:val="000B383A"/>
    <w:rsid w:val="000C0C7B"/>
    <w:rsid w:val="000C1B64"/>
    <w:rsid w:val="000D1790"/>
    <w:rsid w:val="000D20F7"/>
    <w:rsid w:val="000E0FAC"/>
    <w:rsid w:val="001047F0"/>
    <w:rsid w:val="00115506"/>
    <w:rsid w:val="00116B92"/>
    <w:rsid w:val="0012111D"/>
    <w:rsid w:val="00125D46"/>
    <w:rsid w:val="001274B5"/>
    <w:rsid w:val="00133A94"/>
    <w:rsid w:val="00136427"/>
    <w:rsid w:val="00136980"/>
    <w:rsid w:val="00143BA8"/>
    <w:rsid w:val="00147672"/>
    <w:rsid w:val="00155018"/>
    <w:rsid w:val="001560F9"/>
    <w:rsid w:val="00176184"/>
    <w:rsid w:val="0018075C"/>
    <w:rsid w:val="00182775"/>
    <w:rsid w:val="00183F17"/>
    <w:rsid w:val="001920EE"/>
    <w:rsid w:val="0019580F"/>
    <w:rsid w:val="00195F80"/>
    <w:rsid w:val="001A28CD"/>
    <w:rsid w:val="001B39B0"/>
    <w:rsid w:val="001C1A8F"/>
    <w:rsid w:val="001C3DF7"/>
    <w:rsid w:val="001C551B"/>
    <w:rsid w:val="001D7B26"/>
    <w:rsid w:val="001E01C7"/>
    <w:rsid w:val="001E4DA1"/>
    <w:rsid w:val="0020118A"/>
    <w:rsid w:val="002137A5"/>
    <w:rsid w:val="002157DA"/>
    <w:rsid w:val="00220CAD"/>
    <w:rsid w:val="00225EE0"/>
    <w:rsid w:val="00231D4F"/>
    <w:rsid w:val="002340AE"/>
    <w:rsid w:val="00237A56"/>
    <w:rsid w:val="00241F85"/>
    <w:rsid w:val="00250195"/>
    <w:rsid w:val="0026592B"/>
    <w:rsid w:val="00271DF7"/>
    <w:rsid w:val="0027605C"/>
    <w:rsid w:val="00285F00"/>
    <w:rsid w:val="00287B91"/>
    <w:rsid w:val="00290A0F"/>
    <w:rsid w:val="002A1676"/>
    <w:rsid w:val="002A2E82"/>
    <w:rsid w:val="002A496A"/>
    <w:rsid w:val="002A5B0B"/>
    <w:rsid w:val="002B1B31"/>
    <w:rsid w:val="002C1E72"/>
    <w:rsid w:val="002D43D6"/>
    <w:rsid w:val="002D489B"/>
    <w:rsid w:val="002E0DDB"/>
    <w:rsid w:val="002E2F1C"/>
    <w:rsid w:val="002F13BA"/>
    <w:rsid w:val="002F14ED"/>
    <w:rsid w:val="002F389C"/>
    <w:rsid w:val="002F5FF2"/>
    <w:rsid w:val="0031720A"/>
    <w:rsid w:val="0032206D"/>
    <w:rsid w:val="003271EC"/>
    <w:rsid w:val="00331AB2"/>
    <w:rsid w:val="00333C67"/>
    <w:rsid w:val="00337B73"/>
    <w:rsid w:val="00347C40"/>
    <w:rsid w:val="00350965"/>
    <w:rsid w:val="0036209C"/>
    <w:rsid w:val="00367704"/>
    <w:rsid w:val="00373756"/>
    <w:rsid w:val="00374E53"/>
    <w:rsid w:val="00375CFA"/>
    <w:rsid w:val="003770D0"/>
    <w:rsid w:val="00380D44"/>
    <w:rsid w:val="00383428"/>
    <w:rsid w:val="0038375D"/>
    <w:rsid w:val="00391E57"/>
    <w:rsid w:val="00394FAA"/>
    <w:rsid w:val="00395AD1"/>
    <w:rsid w:val="003A0A44"/>
    <w:rsid w:val="003A256A"/>
    <w:rsid w:val="003A2835"/>
    <w:rsid w:val="003B1339"/>
    <w:rsid w:val="003B29EA"/>
    <w:rsid w:val="003B6355"/>
    <w:rsid w:val="003C5947"/>
    <w:rsid w:val="003D1150"/>
    <w:rsid w:val="003E45AD"/>
    <w:rsid w:val="003F2F9F"/>
    <w:rsid w:val="004048F5"/>
    <w:rsid w:val="004069AB"/>
    <w:rsid w:val="00413A22"/>
    <w:rsid w:val="00416CDD"/>
    <w:rsid w:val="0042322E"/>
    <w:rsid w:val="00432E94"/>
    <w:rsid w:val="00435547"/>
    <w:rsid w:val="004367CA"/>
    <w:rsid w:val="004459C8"/>
    <w:rsid w:val="0046510A"/>
    <w:rsid w:val="00466160"/>
    <w:rsid w:val="0047260C"/>
    <w:rsid w:val="00480F94"/>
    <w:rsid w:val="004814C1"/>
    <w:rsid w:val="00481B2E"/>
    <w:rsid w:val="0048331C"/>
    <w:rsid w:val="004876E5"/>
    <w:rsid w:val="00495D05"/>
    <w:rsid w:val="004965C6"/>
    <w:rsid w:val="004969C9"/>
    <w:rsid w:val="00497360"/>
    <w:rsid w:val="0049745B"/>
    <w:rsid w:val="004A3FDD"/>
    <w:rsid w:val="004A4C50"/>
    <w:rsid w:val="004A6CE1"/>
    <w:rsid w:val="004D54AD"/>
    <w:rsid w:val="004E011E"/>
    <w:rsid w:val="004E5380"/>
    <w:rsid w:val="004F4789"/>
    <w:rsid w:val="004F6039"/>
    <w:rsid w:val="00510E7A"/>
    <w:rsid w:val="00522DF1"/>
    <w:rsid w:val="005233E0"/>
    <w:rsid w:val="00535347"/>
    <w:rsid w:val="0054335B"/>
    <w:rsid w:val="00544718"/>
    <w:rsid w:val="00560F5B"/>
    <w:rsid w:val="00564158"/>
    <w:rsid w:val="00564DF2"/>
    <w:rsid w:val="00570091"/>
    <w:rsid w:val="0057334D"/>
    <w:rsid w:val="00591164"/>
    <w:rsid w:val="00595A48"/>
    <w:rsid w:val="005A33E2"/>
    <w:rsid w:val="005A4ABA"/>
    <w:rsid w:val="005B329F"/>
    <w:rsid w:val="005B641F"/>
    <w:rsid w:val="005C5922"/>
    <w:rsid w:val="005D1EBA"/>
    <w:rsid w:val="005E65AE"/>
    <w:rsid w:val="005F3311"/>
    <w:rsid w:val="005F4008"/>
    <w:rsid w:val="006005DA"/>
    <w:rsid w:val="0061375E"/>
    <w:rsid w:val="00615B41"/>
    <w:rsid w:val="0062471D"/>
    <w:rsid w:val="006270B3"/>
    <w:rsid w:val="00630F57"/>
    <w:rsid w:val="00634039"/>
    <w:rsid w:val="0064189F"/>
    <w:rsid w:val="006425B6"/>
    <w:rsid w:val="00643829"/>
    <w:rsid w:val="006508E1"/>
    <w:rsid w:val="00654C4A"/>
    <w:rsid w:val="00660596"/>
    <w:rsid w:val="00672F10"/>
    <w:rsid w:val="00673D33"/>
    <w:rsid w:val="00674706"/>
    <w:rsid w:val="00683611"/>
    <w:rsid w:val="006951AB"/>
    <w:rsid w:val="00695A94"/>
    <w:rsid w:val="006977E6"/>
    <w:rsid w:val="006B1167"/>
    <w:rsid w:val="006E097B"/>
    <w:rsid w:val="006E3663"/>
    <w:rsid w:val="006E6F71"/>
    <w:rsid w:val="007157C5"/>
    <w:rsid w:val="00716CF6"/>
    <w:rsid w:val="00721AA7"/>
    <w:rsid w:val="00733495"/>
    <w:rsid w:val="00750E74"/>
    <w:rsid w:val="007515D1"/>
    <w:rsid w:val="00751FAF"/>
    <w:rsid w:val="00761D74"/>
    <w:rsid w:val="00762B85"/>
    <w:rsid w:val="007640DC"/>
    <w:rsid w:val="00773CCD"/>
    <w:rsid w:val="00774E58"/>
    <w:rsid w:val="00776233"/>
    <w:rsid w:val="0078038E"/>
    <w:rsid w:val="00792930"/>
    <w:rsid w:val="007A717D"/>
    <w:rsid w:val="007B2071"/>
    <w:rsid w:val="007B6528"/>
    <w:rsid w:val="007C166A"/>
    <w:rsid w:val="007D6490"/>
    <w:rsid w:val="007D6B1F"/>
    <w:rsid w:val="007D745A"/>
    <w:rsid w:val="007D7494"/>
    <w:rsid w:val="007E1A52"/>
    <w:rsid w:val="007F35CC"/>
    <w:rsid w:val="0080185D"/>
    <w:rsid w:val="00804C9B"/>
    <w:rsid w:val="00806795"/>
    <w:rsid w:val="0081577A"/>
    <w:rsid w:val="00820D95"/>
    <w:rsid w:val="00822181"/>
    <w:rsid w:val="00824C53"/>
    <w:rsid w:val="00825EA5"/>
    <w:rsid w:val="00834FCA"/>
    <w:rsid w:val="00875F2C"/>
    <w:rsid w:val="0087686A"/>
    <w:rsid w:val="00877FA4"/>
    <w:rsid w:val="00887B16"/>
    <w:rsid w:val="008A045B"/>
    <w:rsid w:val="008A27BB"/>
    <w:rsid w:val="008B4CCA"/>
    <w:rsid w:val="008C4F57"/>
    <w:rsid w:val="008C57CE"/>
    <w:rsid w:val="008C60EC"/>
    <w:rsid w:val="008C6D13"/>
    <w:rsid w:val="008D065D"/>
    <w:rsid w:val="008D2463"/>
    <w:rsid w:val="008E4C0E"/>
    <w:rsid w:val="008E4E83"/>
    <w:rsid w:val="008F190F"/>
    <w:rsid w:val="0090342A"/>
    <w:rsid w:val="00907C09"/>
    <w:rsid w:val="009152CD"/>
    <w:rsid w:val="00921F86"/>
    <w:rsid w:val="00935FD7"/>
    <w:rsid w:val="0095077B"/>
    <w:rsid w:val="009508BC"/>
    <w:rsid w:val="00965D71"/>
    <w:rsid w:val="00974BEF"/>
    <w:rsid w:val="009909E8"/>
    <w:rsid w:val="00990C36"/>
    <w:rsid w:val="00991AE9"/>
    <w:rsid w:val="00993C47"/>
    <w:rsid w:val="00994199"/>
    <w:rsid w:val="009B53F7"/>
    <w:rsid w:val="009D1E41"/>
    <w:rsid w:val="009E752B"/>
    <w:rsid w:val="009F0CE9"/>
    <w:rsid w:val="009F477A"/>
    <w:rsid w:val="009F7201"/>
    <w:rsid w:val="00A001CE"/>
    <w:rsid w:val="00A035D7"/>
    <w:rsid w:val="00A05A2A"/>
    <w:rsid w:val="00A06C24"/>
    <w:rsid w:val="00A27259"/>
    <w:rsid w:val="00A40EFB"/>
    <w:rsid w:val="00A43C17"/>
    <w:rsid w:val="00A52528"/>
    <w:rsid w:val="00A55B30"/>
    <w:rsid w:val="00A568B6"/>
    <w:rsid w:val="00A56C49"/>
    <w:rsid w:val="00A62764"/>
    <w:rsid w:val="00A65CD0"/>
    <w:rsid w:val="00A814A6"/>
    <w:rsid w:val="00A84643"/>
    <w:rsid w:val="00AB54AA"/>
    <w:rsid w:val="00AD0FE4"/>
    <w:rsid w:val="00AE6551"/>
    <w:rsid w:val="00AF66F6"/>
    <w:rsid w:val="00AF719D"/>
    <w:rsid w:val="00B06AED"/>
    <w:rsid w:val="00B12BFA"/>
    <w:rsid w:val="00B15DC5"/>
    <w:rsid w:val="00B17C57"/>
    <w:rsid w:val="00B345AD"/>
    <w:rsid w:val="00B53BFA"/>
    <w:rsid w:val="00B54D5F"/>
    <w:rsid w:val="00B67A7C"/>
    <w:rsid w:val="00B73784"/>
    <w:rsid w:val="00B77C70"/>
    <w:rsid w:val="00B86888"/>
    <w:rsid w:val="00B95CEE"/>
    <w:rsid w:val="00B96162"/>
    <w:rsid w:val="00B971C8"/>
    <w:rsid w:val="00BA2412"/>
    <w:rsid w:val="00BB19BB"/>
    <w:rsid w:val="00BB69CA"/>
    <w:rsid w:val="00BB73D5"/>
    <w:rsid w:val="00BC55D1"/>
    <w:rsid w:val="00BD102D"/>
    <w:rsid w:val="00BD2F0B"/>
    <w:rsid w:val="00BD550B"/>
    <w:rsid w:val="00BE646E"/>
    <w:rsid w:val="00BF2B0E"/>
    <w:rsid w:val="00BF2C15"/>
    <w:rsid w:val="00BF64A9"/>
    <w:rsid w:val="00BF7ACB"/>
    <w:rsid w:val="00C202EA"/>
    <w:rsid w:val="00C225A3"/>
    <w:rsid w:val="00C24FDB"/>
    <w:rsid w:val="00C25F5B"/>
    <w:rsid w:val="00C33C5A"/>
    <w:rsid w:val="00C413BF"/>
    <w:rsid w:val="00C44042"/>
    <w:rsid w:val="00C47435"/>
    <w:rsid w:val="00C47C49"/>
    <w:rsid w:val="00C652A4"/>
    <w:rsid w:val="00C80AA7"/>
    <w:rsid w:val="00C8428D"/>
    <w:rsid w:val="00C90584"/>
    <w:rsid w:val="00C9239F"/>
    <w:rsid w:val="00C9346A"/>
    <w:rsid w:val="00C9573B"/>
    <w:rsid w:val="00CA1CA4"/>
    <w:rsid w:val="00CA4E8F"/>
    <w:rsid w:val="00CB0396"/>
    <w:rsid w:val="00CD0466"/>
    <w:rsid w:val="00CD3461"/>
    <w:rsid w:val="00CE587E"/>
    <w:rsid w:val="00CF42E6"/>
    <w:rsid w:val="00D00E21"/>
    <w:rsid w:val="00D07434"/>
    <w:rsid w:val="00D2683C"/>
    <w:rsid w:val="00D4248B"/>
    <w:rsid w:val="00D44604"/>
    <w:rsid w:val="00D51CDD"/>
    <w:rsid w:val="00D57ECB"/>
    <w:rsid w:val="00D62A6A"/>
    <w:rsid w:val="00D765B0"/>
    <w:rsid w:val="00D77FF9"/>
    <w:rsid w:val="00D828CD"/>
    <w:rsid w:val="00D91A4A"/>
    <w:rsid w:val="00D93F2E"/>
    <w:rsid w:val="00DA31D1"/>
    <w:rsid w:val="00DA47D0"/>
    <w:rsid w:val="00DA64E5"/>
    <w:rsid w:val="00DB13E8"/>
    <w:rsid w:val="00DB44B6"/>
    <w:rsid w:val="00DC06CE"/>
    <w:rsid w:val="00DC0A0F"/>
    <w:rsid w:val="00DD2514"/>
    <w:rsid w:val="00DD3D4A"/>
    <w:rsid w:val="00DE1C5A"/>
    <w:rsid w:val="00DF10EB"/>
    <w:rsid w:val="00DF6C7C"/>
    <w:rsid w:val="00E0037E"/>
    <w:rsid w:val="00E00665"/>
    <w:rsid w:val="00E2304D"/>
    <w:rsid w:val="00E321F1"/>
    <w:rsid w:val="00E373ED"/>
    <w:rsid w:val="00E43421"/>
    <w:rsid w:val="00E57D22"/>
    <w:rsid w:val="00E61943"/>
    <w:rsid w:val="00E71198"/>
    <w:rsid w:val="00E767E7"/>
    <w:rsid w:val="00E80313"/>
    <w:rsid w:val="00E80B0D"/>
    <w:rsid w:val="00E86B64"/>
    <w:rsid w:val="00E901D3"/>
    <w:rsid w:val="00E93100"/>
    <w:rsid w:val="00E96BEC"/>
    <w:rsid w:val="00EA0214"/>
    <w:rsid w:val="00EA2DF7"/>
    <w:rsid w:val="00EA52FA"/>
    <w:rsid w:val="00EA64FC"/>
    <w:rsid w:val="00EB38EC"/>
    <w:rsid w:val="00EB7638"/>
    <w:rsid w:val="00EC0262"/>
    <w:rsid w:val="00EC1483"/>
    <w:rsid w:val="00EC755F"/>
    <w:rsid w:val="00ED2C69"/>
    <w:rsid w:val="00ED708D"/>
    <w:rsid w:val="00ED763C"/>
    <w:rsid w:val="00ED7E80"/>
    <w:rsid w:val="00EE4B32"/>
    <w:rsid w:val="00EF09E8"/>
    <w:rsid w:val="00F0177A"/>
    <w:rsid w:val="00F22BFA"/>
    <w:rsid w:val="00F33E52"/>
    <w:rsid w:val="00F3556C"/>
    <w:rsid w:val="00F41BA5"/>
    <w:rsid w:val="00F47800"/>
    <w:rsid w:val="00F54D73"/>
    <w:rsid w:val="00F654C0"/>
    <w:rsid w:val="00F71868"/>
    <w:rsid w:val="00F743A7"/>
    <w:rsid w:val="00F75B1B"/>
    <w:rsid w:val="00F777CF"/>
    <w:rsid w:val="00F81E06"/>
    <w:rsid w:val="00F92333"/>
    <w:rsid w:val="00F969F1"/>
    <w:rsid w:val="00F9703E"/>
    <w:rsid w:val="00FA1BFD"/>
    <w:rsid w:val="00FA7C71"/>
    <w:rsid w:val="00FB1919"/>
    <w:rsid w:val="00FB406E"/>
    <w:rsid w:val="00FC10AC"/>
    <w:rsid w:val="00FC19EE"/>
    <w:rsid w:val="00FC5DCC"/>
    <w:rsid w:val="00FC6068"/>
    <w:rsid w:val="00FD1341"/>
    <w:rsid w:val="00FD13E7"/>
    <w:rsid w:val="00FD2754"/>
    <w:rsid w:val="00FD5E0D"/>
    <w:rsid w:val="00FE6E2B"/>
    <w:rsid w:val="00FF3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EAA1FA"/>
  <w15:docId w15:val="{3CF04A3C-FF5E-45C1-A1F9-D8D8E8A5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20118A"/>
  </w:style>
  <w:style w:type="paragraph" w:styleId="Heading1">
    <w:name w:val="heading 1"/>
    <w:basedOn w:val="Normal"/>
    <w:next w:val="Normal"/>
    <w:link w:val="Heading1Char"/>
    <w:uiPriority w:val="9"/>
    <w:rsid w:val="00627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Normal"/>
    <w:next w:val="02Author"/>
    <w:rsid w:val="000615EE"/>
    <w:pPr>
      <w:spacing w:after="0" w:line="240" w:lineRule="auto"/>
    </w:pPr>
    <w:rPr>
      <w:rFonts w:ascii="Arial" w:hAnsi="Arial"/>
      <w:b/>
      <w:spacing w:val="10"/>
      <w:kern w:val="32"/>
      <w:sz w:val="32"/>
    </w:rPr>
  </w:style>
  <w:style w:type="paragraph" w:customStyle="1" w:styleId="02Author-BOE">
    <w:name w:val="02. Author - BOE"/>
    <w:basedOn w:val="01Title"/>
    <w:next w:val="03AuthorAffiliation"/>
    <w:rsid w:val="000615EE"/>
    <w:pPr>
      <w:spacing w:before="240" w:after="80"/>
    </w:pPr>
    <w:rPr>
      <w:smallCaps/>
      <w:color w:val="7C130E"/>
      <w:spacing w:val="0"/>
      <w:kern w:val="0"/>
      <w:sz w:val="24"/>
    </w:rPr>
  </w:style>
  <w:style w:type="paragraph" w:customStyle="1" w:styleId="10BodySubsequentParagraph">
    <w:name w:val="10. Body Subsequent Paragraph"/>
    <w:basedOn w:val="09BodyFirstParagraph"/>
    <w:qFormat/>
    <w:rsid w:val="00A568B6"/>
    <w:pPr>
      <w:spacing w:before="0"/>
      <w:ind w:firstLine="288"/>
    </w:pPr>
  </w:style>
  <w:style w:type="paragraph" w:customStyle="1" w:styleId="03AuthorAffiliation">
    <w:name w:val="03. Author Affiliation"/>
    <w:basedOn w:val="NoSpacing"/>
    <w:next w:val="04Email"/>
    <w:qFormat/>
    <w:rsid w:val="00CE587E"/>
    <w:rPr>
      <w:rFonts w:ascii="Times New Roman" w:hAnsi="Times New Roman"/>
      <w:i/>
      <w:sz w:val="18"/>
    </w:rPr>
  </w:style>
  <w:style w:type="paragraph" w:customStyle="1" w:styleId="02Author-OE">
    <w:name w:val="02. Author - OE"/>
    <w:basedOn w:val="02Author-BOE"/>
    <w:next w:val="03AuthorAffiliation"/>
    <w:rsid w:val="00CE587E"/>
    <w:rPr>
      <w:color w:val="943634"/>
    </w:rPr>
  </w:style>
  <w:style w:type="paragraph" w:styleId="NoSpacing">
    <w:name w:val="No Spacing"/>
    <w:uiPriority w:val="1"/>
    <w:rsid w:val="009909E8"/>
    <w:pPr>
      <w:spacing w:after="0" w:line="240" w:lineRule="auto"/>
    </w:pPr>
  </w:style>
  <w:style w:type="paragraph" w:customStyle="1" w:styleId="02Author-OME">
    <w:name w:val="02. Author - OME"/>
    <w:basedOn w:val="02Author-BOE"/>
    <w:next w:val="03AuthorAffiliation"/>
    <w:rsid w:val="00416CDD"/>
    <w:rPr>
      <w:color w:val="1478B6"/>
    </w:rPr>
  </w:style>
  <w:style w:type="paragraph" w:customStyle="1" w:styleId="04Email">
    <w:name w:val="04. Email"/>
    <w:basedOn w:val="03AuthorAffiliation"/>
    <w:next w:val="06AbstractBody"/>
    <w:qFormat/>
    <w:rsid w:val="00416CDD"/>
    <w:rPr>
      <w:color w:val="2E2EB1"/>
    </w:rPr>
  </w:style>
  <w:style w:type="paragraph" w:customStyle="1" w:styleId="25ReferenceSectionHeader">
    <w:name w:val="25. Reference Section Header"/>
    <w:next w:val="26References"/>
    <w:qFormat/>
    <w:rsid w:val="00AD0FE4"/>
    <w:pPr>
      <w:spacing w:before="120" w:after="120" w:line="240" w:lineRule="auto"/>
    </w:pPr>
    <w:rPr>
      <w:rFonts w:ascii="Arial" w:hAnsi="Arial"/>
      <w:b/>
      <w:sz w:val="18"/>
    </w:rPr>
  </w:style>
  <w:style w:type="paragraph" w:customStyle="1" w:styleId="06AbstractBody">
    <w:name w:val="06. Abstract Body"/>
    <w:next w:val="07Copyright"/>
    <w:qFormat/>
    <w:rsid w:val="00BF64A9"/>
    <w:pPr>
      <w:spacing w:before="240" w:after="0" w:line="240" w:lineRule="auto"/>
      <w:jc w:val="both"/>
    </w:pPr>
    <w:rPr>
      <w:rFonts w:ascii="Times New Roman" w:hAnsi="Times New Roman"/>
      <w:color w:val="000000" w:themeColor="text1"/>
      <w:sz w:val="20"/>
    </w:rPr>
  </w:style>
  <w:style w:type="paragraph" w:customStyle="1" w:styleId="07Copyright">
    <w:name w:val="07. Copyright"/>
    <w:basedOn w:val="06AbstractBody"/>
    <w:next w:val="08SectionHeader1"/>
    <w:rsid w:val="0036209C"/>
    <w:pPr>
      <w:spacing w:after="240"/>
    </w:pPr>
    <w:rPr>
      <w:rFonts w:ascii="Arial" w:hAnsi="Arial"/>
      <w:sz w:val="16"/>
    </w:rPr>
  </w:style>
  <w:style w:type="paragraph" w:customStyle="1" w:styleId="26References">
    <w:name w:val="26. References"/>
    <w:qFormat/>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qFormat/>
    <w:rsid w:val="00BF64A9"/>
    <w:pPr>
      <w:numPr>
        <w:numId w:val="5"/>
      </w:num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qFormat/>
    <w:rsid w:val="00BF64A9"/>
    <w:pPr>
      <w:spacing w:before="120"/>
    </w:pPr>
  </w:style>
  <w:style w:type="paragraph" w:customStyle="1" w:styleId="08SectionHeader2">
    <w:name w:val="08. Section Header 2"/>
    <w:basedOn w:val="08SectionHeader1"/>
    <w:next w:val="09BodyFirstParagraph"/>
    <w:qFormat/>
    <w:rsid w:val="00A568B6"/>
    <w:pPr>
      <w:numPr>
        <w:numId w:val="0"/>
      </w:numPr>
    </w:pPr>
    <w:rPr>
      <w:b w:val="0"/>
      <w:i/>
    </w:rPr>
  </w:style>
  <w:style w:type="character" w:styleId="CommentReference">
    <w:name w:val="annotation reference"/>
    <w:basedOn w:val="DefaultParagraphFont"/>
    <w:uiPriority w:val="99"/>
    <w:semiHidden/>
    <w:unhideWhenUsed/>
    <w:rsid w:val="005A33E2"/>
    <w:rPr>
      <w:sz w:val="16"/>
      <w:szCs w:val="16"/>
    </w:rPr>
  </w:style>
  <w:style w:type="paragraph" w:styleId="CommentText">
    <w:name w:val="annotation text"/>
    <w:basedOn w:val="Normal"/>
    <w:link w:val="CommentTextChar"/>
    <w:uiPriority w:val="99"/>
    <w:unhideWhenUsed/>
    <w:rsid w:val="005A33E2"/>
    <w:pPr>
      <w:spacing w:line="240" w:lineRule="auto"/>
    </w:pPr>
    <w:rPr>
      <w:sz w:val="20"/>
      <w:szCs w:val="20"/>
    </w:rPr>
  </w:style>
  <w:style w:type="character" w:customStyle="1" w:styleId="CommentTextChar">
    <w:name w:val="Comment Text Char"/>
    <w:basedOn w:val="DefaultParagraphFont"/>
    <w:link w:val="CommentText"/>
    <w:uiPriority w:val="99"/>
    <w:rsid w:val="005A33E2"/>
    <w:rPr>
      <w:sz w:val="20"/>
      <w:szCs w:val="20"/>
    </w:rPr>
  </w:style>
  <w:style w:type="paragraph" w:styleId="CommentSubject">
    <w:name w:val="annotation subject"/>
    <w:basedOn w:val="CommentText"/>
    <w:next w:val="CommentText"/>
    <w:link w:val="CommentSubjectChar"/>
    <w:uiPriority w:val="99"/>
    <w:semiHidden/>
    <w:unhideWhenUsed/>
    <w:rsid w:val="005A33E2"/>
    <w:rPr>
      <w:b/>
      <w:bCs/>
    </w:rPr>
  </w:style>
  <w:style w:type="character" w:customStyle="1" w:styleId="CommentSubjectChar">
    <w:name w:val="Comment Subject Char"/>
    <w:basedOn w:val="CommentTextChar"/>
    <w:link w:val="CommentSubject"/>
    <w:uiPriority w:val="99"/>
    <w:semiHidden/>
    <w:rsid w:val="005A33E2"/>
    <w:rPr>
      <w:b/>
      <w:bCs/>
      <w:sz w:val="20"/>
      <w:szCs w:val="20"/>
    </w:rPr>
  </w:style>
  <w:style w:type="paragraph" w:styleId="BalloonText">
    <w:name w:val="Balloon Text"/>
    <w:basedOn w:val="Normal"/>
    <w:link w:val="BalloonTextChar"/>
    <w:uiPriority w:val="99"/>
    <w:semiHidden/>
    <w:unhideWhenUsed/>
    <w:rsid w:val="005A3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qFormat/>
    <w:rsid w:val="005A33E2"/>
    <w:rPr>
      <w:i w:val="0"/>
    </w:rPr>
  </w:style>
  <w:style w:type="paragraph" w:customStyle="1" w:styleId="20FundingSectionHeader">
    <w:name w:val="20. Funding Section Header"/>
    <w:basedOn w:val="08SectionHeader1"/>
    <w:next w:val="21AcknowledgmentsSectionHeader"/>
    <w:qFormat/>
    <w:rsid w:val="00BA2412"/>
    <w:pPr>
      <w:numPr>
        <w:numId w:val="0"/>
      </w:numPr>
      <w:spacing w:after="120"/>
      <w:ind w:left="360" w:hanging="360"/>
    </w:pPr>
    <w:rPr>
      <w:sz w:val="18"/>
    </w:rPr>
  </w:style>
  <w:style w:type="paragraph" w:customStyle="1" w:styleId="21AcknowledgmentsSectionHeader">
    <w:name w:val="21. Acknowledgments Section Header"/>
    <w:basedOn w:val="20FundingSectionHeader"/>
    <w:next w:val="22DisclosuresSectionHeader"/>
    <w:qFormat/>
    <w:rsid w:val="00A55B30"/>
  </w:style>
  <w:style w:type="paragraph" w:customStyle="1" w:styleId="12FigureCaptionShort">
    <w:name w:val="12. Figure Caption Short"/>
    <w:basedOn w:val="09BodyFirstParagraph"/>
    <w:next w:val="10BodySubsequentParagraph"/>
    <w:qFormat/>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FD5E0D"/>
    <w:pPr>
      <w:jc w:val="both"/>
    </w:pPr>
  </w:style>
  <w:style w:type="paragraph" w:customStyle="1" w:styleId="14TableCaption">
    <w:name w:val="14. Table Caption"/>
    <w:basedOn w:val="09BodyFirstParagraph"/>
    <w:next w:val="15TableBody"/>
    <w:qFormat/>
    <w:rsid w:val="0048331C"/>
    <w:pPr>
      <w:spacing w:before="240" w:after="160"/>
      <w:jc w:val="center"/>
    </w:pPr>
    <w:rPr>
      <w:b/>
      <w:sz w:val="16"/>
    </w:rPr>
  </w:style>
  <w:style w:type="paragraph" w:customStyle="1" w:styleId="13Equation">
    <w:name w:val="13. Equation"/>
    <w:basedOn w:val="10BodySubsequentParagraph"/>
    <w:next w:val="10BodySubsequentParagraph"/>
    <w:qFormat/>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qFormat/>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qFormat/>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AO">
    <w:name w:val="02. Author - AO"/>
    <w:basedOn w:val="02Author-BOE"/>
    <w:next w:val="03AuthorAffiliation"/>
    <w:qFormat/>
    <w:rsid w:val="003A0A44"/>
    <w:rPr>
      <w:color w:val="auto"/>
    </w:rPr>
  </w:style>
  <w:style w:type="paragraph" w:customStyle="1" w:styleId="02Author-JOSAA">
    <w:name w:val="02. Author - JOSAA"/>
    <w:basedOn w:val="02Author-AO"/>
    <w:next w:val="03AuthorAffiliation"/>
    <w:rsid w:val="005F4008"/>
    <w:rPr>
      <w:color w:val="4C265B"/>
    </w:rPr>
  </w:style>
  <w:style w:type="paragraph" w:customStyle="1" w:styleId="02Author-JOSAB">
    <w:name w:val="02. Author - JOSAB"/>
    <w:basedOn w:val="02Author-JOSAA"/>
    <w:next w:val="03AuthorAffiliation"/>
    <w:rsid w:val="005F4008"/>
    <w:rPr>
      <w:color w:val="16A14C"/>
    </w:rPr>
  </w:style>
  <w:style w:type="paragraph" w:customStyle="1" w:styleId="02Author-Optica">
    <w:name w:val="02. Author - Optica"/>
    <w:basedOn w:val="02Author-JOSAA"/>
    <w:next w:val="03AuthorAffiliation"/>
    <w:rsid w:val="005F4008"/>
    <w:rPr>
      <w:color w:val="007B4A"/>
    </w:rPr>
  </w:style>
  <w:style w:type="paragraph" w:customStyle="1" w:styleId="02Author-OL">
    <w:name w:val="02. Author - OL"/>
    <w:basedOn w:val="02Author-Optica"/>
    <w:next w:val="03AuthorAffiliation"/>
    <w:rsid w:val="005F4008"/>
    <w:rPr>
      <w:color w:val="254982"/>
    </w:rPr>
  </w:style>
  <w:style w:type="paragraph" w:customStyle="1" w:styleId="22DisclosuresSectionHeader">
    <w:name w:val="22. Disclosures Section Header"/>
    <w:basedOn w:val="21AcknowledgmentsSectionHeader"/>
    <w:next w:val="23DataAvailabilitySectionHeader"/>
    <w:qFormat/>
    <w:rsid w:val="007F35CC"/>
  </w:style>
  <w:style w:type="character" w:customStyle="1" w:styleId="Heading1Char">
    <w:name w:val="Heading 1 Char"/>
    <w:basedOn w:val="DefaultParagraphFont"/>
    <w:link w:val="Heading1"/>
    <w:uiPriority w:val="9"/>
    <w:rsid w:val="006270B3"/>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497360"/>
    <w:rPr>
      <w:color w:val="0000FF" w:themeColor="hyperlink"/>
      <w:u w:val="single"/>
    </w:rPr>
  </w:style>
  <w:style w:type="paragraph" w:customStyle="1" w:styleId="08SectionHeader10">
    <w:name w:val="08. Section Header 1"/>
    <w:next w:val="09BodyFirstParagraph"/>
    <w:qFormat/>
    <w:rsid w:val="00497360"/>
    <w:pPr>
      <w:spacing w:before="120" w:after="0" w:line="240" w:lineRule="auto"/>
      <w:ind w:left="360" w:hanging="360"/>
    </w:pPr>
    <w:rPr>
      <w:rFonts w:ascii="Arial" w:hAnsi="Arial"/>
      <w:b/>
      <w:sz w:val="20"/>
    </w:rPr>
  </w:style>
  <w:style w:type="table" w:styleId="TableGrid">
    <w:name w:val="Table Grid"/>
    <w:basedOn w:val="TableNormal"/>
    <w:uiPriority w:val="59"/>
    <w:rsid w:val="00994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uthor-AOP">
    <w:name w:val="02. Author - AOP"/>
    <w:basedOn w:val="02Author-AO"/>
    <w:rsid w:val="00092896"/>
    <w:rPr>
      <w:color w:val="8F043A"/>
    </w:rPr>
  </w:style>
  <w:style w:type="paragraph" w:customStyle="1" w:styleId="02Author-PRJ">
    <w:name w:val="02. Author - PRJ"/>
    <w:basedOn w:val="02Author-Optica"/>
    <w:rsid w:val="00BD2F0B"/>
    <w:rPr>
      <w:color w:val="7E2C2E"/>
    </w:rPr>
  </w:style>
  <w:style w:type="paragraph" w:customStyle="1" w:styleId="02Author">
    <w:name w:val="02. Author"/>
    <w:basedOn w:val="02Author-AO"/>
    <w:next w:val="03AuthorAffiliation"/>
    <w:rsid w:val="00974BEF"/>
    <w:rPr>
      <w:color w:val="595959" w:themeColor="text1" w:themeTint="A6"/>
    </w:rPr>
  </w:style>
  <w:style w:type="paragraph" w:customStyle="1" w:styleId="02Author-OSAC">
    <w:name w:val="02. Author - OSAC"/>
    <w:basedOn w:val="02Author-OME"/>
    <w:next w:val="03AuthorAffiliation"/>
    <w:rsid w:val="00D07434"/>
    <w:rPr>
      <w:color w:val="006E90"/>
    </w:rPr>
  </w:style>
  <w:style w:type="character" w:styleId="Emphasis">
    <w:name w:val="Emphasis"/>
    <w:basedOn w:val="DefaultParagraphFont"/>
    <w:uiPriority w:val="20"/>
    <w:qFormat/>
    <w:rsid w:val="00EB7638"/>
    <w:rPr>
      <w:i/>
      <w:iCs/>
    </w:rPr>
  </w:style>
  <w:style w:type="character" w:styleId="Strong">
    <w:name w:val="Strong"/>
    <w:basedOn w:val="DefaultParagraphFont"/>
    <w:uiPriority w:val="22"/>
    <w:qFormat/>
    <w:rsid w:val="00510E7A"/>
    <w:rPr>
      <w:b/>
      <w:bCs/>
    </w:rPr>
  </w:style>
  <w:style w:type="character" w:customStyle="1" w:styleId="UnresolvedMention1">
    <w:name w:val="Unresolved Mention1"/>
    <w:basedOn w:val="DefaultParagraphFont"/>
    <w:uiPriority w:val="99"/>
    <w:semiHidden/>
    <w:unhideWhenUsed/>
    <w:rsid w:val="00510E7A"/>
    <w:rPr>
      <w:color w:val="605E5C"/>
      <w:shd w:val="clear" w:color="auto" w:fill="E1DFDD"/>
    </w:rPr>
  </w:style>
  <w:style w:type="paragraph" w:customStyle="1" w:styleId="23DataAvailabilitySectionHeader">
    <w:name w:val="23. Data Availability Section Header"/>
    <w:basedOn w:val="22DisclosuresSectionHeader"/>
    <w:rsid w:val="00BA2412"/>
  </w:style>
  <w:style w:type="paragraph" w:styleId="NormalWeb">
    <w:name w:val="Normal (Web)"/>
    <w:basedOn w:val="Normal"/>
    <w:uiPriority w:val="99"/>
    <w:semiHidden/>
    <w:unhideWhenUsed/>
    <w:rsid w:val="00195F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4SupplementalDocumentSection">
    <w:name w:val="24. Supplemental Document Section"/>
    <w:basedOn w:val="23DataAvailabilitySectionHeader"/>
    <w:next w:val="25ReferenceSectionHeader"/>
    <w:rsid w:val="00E321F1"/>
  </w:style>
  <w:style w:type="paragraph" w:customStyle="1" w:styleId="OSAReference">
    <w:name w:val="OSA Reference"/>
    <w:basedOn w:val="Normal"/>
    <w:qFormat/>
    <w:rsid w:val="00E61943"/>
    <w:pPr>
      <w:numPr>
        <w:numId w:val="22"/>
      </w:numPr>
      <w:autoSpaceDE w:val="0"/>
      <w:autoSpaceDN w:val="0"/>
      <w:adjustRightInd w:val="0"/>
      <w:spacing w:after="0" w:line="240" w:lineRule="auto"/>
    </w:pPr>
    <w:rPr>
      <w:rFonts w:ascii="Calibri" w:eastAsia="SimSun" w:hAnsi="Calibri" w:cs="AdvOT9cb306be.B"/>
      <w:spacing w:val="-6"/>
      <w:sz w:val="17"/>
      <w:szCs w:val="18"/>
    </w:rPr>
  </w:style>
  <w:style w:type="character" w:styleId="LineNumber">
    <w:name w:val="line number"/>
    <w:basedOn w:val="DefaultParagraphFont"/>
    <w:uiPriority w:val="99"/>
    <w:semiHidden/>
    <w:unhideWhenUsed/>
    <w:rsid w:val="00A43C17"/>
  </w:style>
  <w:style w:type="character" w:styleId="FollowedHyperlink">
    <w:name w:val="FollowedHyperlink"/>
    <w:basedOn w:val="DefaultParagraphFont"/>
    <w:uiPriority w:val="99"/>
    <w:semiHidden/>
    <w:unhideWhenUsed/>
    <w:rsid w:val="00413A22"/>
    <w:rPr>
      <w:color w:val="800080" w:themeColor="followedHyperlink"/>
      <w:u w:val="single"/>
    </w:rPr>
  </w:style>
  <w:style w:type="paragraph" w:customStyle="1" w:styleId="20Reference">
    <w:name w:val="20 Reference"/>
    <w:basedOn w:val="Normal"/>
    <w:qFormat/>
    <w:rsid w:val="00A001CE"/>
    <w:pPr>
      <w:autoSpaceDE w:val="0"/>
      <w:autoSpaceDN w:val="0"/>
      <w:adjustRightInd w:val="0"/>
      <w:spacing w:after="0" w:line="240" w:lineRule="auto"/>
      <w:ind w:left="360" w:hanging="216"/>
    </w:pPr>
    <w:rPr>
      <w:rFonts w:ascii="Calibri" w:eastAsia="Times New Roman" w:hAnsi="Calibri" w:cs="AdvOT9cb306be.B"/>
      <w:spacing w:val="-6"/>
      <w:sz w:val="17"/>
      <w:szCs w:val="18"/>
    </w:rPr>
  </w:style>
  <w:style w:type="paragraph" w:styleId="ListParagraph">
    <w:name w:val="List Paragraph"/>
    <w:basedOn w:val="Normal"/>
    <w:uiPriority w:val="34"/>
    <w:qFormat/>
    <w:rsid w:val="00E0037E"/>
    <w:pPr>
      <w:spacing w:after="160" w:line="259" w:lineRule="auto"/>
      <w:ind w:left="720"/>
      <w:contextualSpacing/>
    </w:pPr>
    <w:rPr>
      <w:rFonts w:eastAsiaTheme="minorHAnsi"/>
      <w:lang w:val="en-GB"/>
    </w:rPr>
  </w:style>
  <w:style w:type="paragraph" w:styleId="FootnoteText">
    <w:name w:val="footnote text"/>
    <w:basedOn w:val="Normal"/>
    <w:link w:val="FootnoteTextChar"/>
    <w:uiPriority w:val="99"/>
    <w:unhideWhenUsed/>
    <w:rsid w:val="00E0037E"/>
    <w:pPr>
      <w:spacing w:after="0" w:line="240" w:lineRule="auto"/>
    </w:pPr>
    <w:rPr>
      <w:rFonts w:eastAsiaTheme="minorHAnsi"/>
      <w:sz w:val="20"/>
      <w:szCs w:val="20"/>
      <w:lang w:val="en-GB"/>
    </w:rPr>
  </w:style>
  <w:style w:type="character" w:customStyle="1" w:styleId="FootnoteTextChar">
    <w:name w:val="Footnote Text Char"/>
    <w:basedOn w:val="DefaultParagraphFont"/>
    <w:link w:val="FootnoteText"/>
    <w:uiPriority w:val="99"/>
    <w:rsid w:val="00E0037E"/>
    <w:rPr>
      <w:rFonts w:eastAsiaTheme="minorHAnsi"/>
      <w:sz w:val="20"/>
      <w:szCs w:val="20"/>
      <w:lang w:val="en-GB"/>
    </w:rPr>
  </w:style>
  <w:style w:type="character" w:styleId="FootnoteReference">
    <w:name w:val="footnote reference"/>
    <w:basedOn w:val="DefaultParagraphFont"/>
    <w:uiPriority w:val="99"/>
    <w:semiHidden/>
    <w:unhideWhenUsed/>
    <w:rsid w:val="00E0037E"/>
    <w:rPr>
      <w:vertAlign w:val="superscript"/>
    </w:rPr>
  </w:style>
  <w:style w:type="paragraph" w:styleId="Revision">
    <w:name w:val="Revision"/>
    <w:hidden/>
    <w:uiPriority w:val="99"/>
    <w:semiHidden/>
    <w:rsid w:val="00615B41"/>
    <w:pPr>
      <w:spacing w:after="0" w:line="240" w:lineRule="auto"/>
    </w:pPr>
  </w:style>
  <w:style w:type="paragraph" w:styleId="EndnoteText">
    <w:name w:val="endnote text"/>
    <w:basedOn w:val="Normal"/>
    <w:link w:val="EndnoteTextChar"/>
    <w:uiPriority w:val="99"/>
    <w:unhideWhenUsed/>
    <w:rsid w:val="00F71868"/>
    <w:pPr>
      <w:spacing w:after="0" w:line="240" w:lineRule="auto"/>
    </w:pPr>
    <w:rPr>
      <w:sz w:val="20"/>
      <w:szCs w:val="20"/>
    </w:rPr>
  </w:style>
  <w:style w:type="character" w:customStyle="1" w:styleId="EndnoteTextChar">
    <w:name w:val="Endnote Text Char"/>
    <w:basedOn w:val="DefaultParagraphFont"/>
    <w:link w:val="EndnoteText"/>
    <w:uiPriority w:val="99"/>
    <w:rsid w:val="00F71868"/>
    <w:rPr>
      <w:sz w:val="20"/>
      <w:szCs w:val="20"/>
    </w:rPr>
  </w:style>
  <w:style w:type="character" w:styleId="EndnoteReference">
    <w:name w:val="endnote reference"/>
    <w:basedOn w:val="DefaultParagraphFont"/>
    <w:uiPriority w:val="99"/>
    <w:semiHidden/>
    <w:unhideWhenUsed/>
    <w:rsid w:val="00F71868"/>
    <w:rPr>
      <w:vertAlign w:val="superscript"/>
    </w:rPr>
  </w:style>
  <w:style w:type="character" w:customStyle="1" w:styleId="UnresolvedMention2">
    <w:name w:val="Unresolved Mention2"/>
    <w:basedOn w:val="DefaultParagraphFont"/>
    <w:uiPriority w:val="99"/>
    <w:semiHidden/>
    <w:unhideWhenUsed/>
    <w:rsid w:val="004E01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145962">
      <w:bodyDiv w:val="1"/>
      <w:marLeft w:val="0"/>
      <w:marRight w:val="0"/>
      <w:marTop w:val="0"/>
      <w:marBottom w:val="0"/>
      <w:divBdr>
        <w:top w:val="none" w:sz="0" w:space="0" w:color="auto"/>
        <w:left w:val="none" w:sz="0" w:space="0" w:color="auto"/>
        <w:bottom w:val="none" w:sz="0" w:space="0" w:color="auto"/>
        <w:right w:val="none" w:sz="0" w:space="0" w:color="auto"/>
      </w:divBdr>
      <w:divsChild>
        <w:div w:id="1709135780">
          <w:marLeft w:val="0"/>
          <w:marRight w:val="0"/>
          <w:marTop w:val="0"/>
          <w:marBottom w:val="0"/>
          <w:divBdr>
            <w:top w:val="none" w:sz="0" w:space="0" w:color="auto"/>
            <w:left w:val="none" w:sz="0" w:space="0" w:color="auto"/>
            <w:bottom w:val="none" w:sz="0" w:space="0" w:color="auto"/>
            <w:right w:val="none" w:sz="0" w:space="0" w:color="auto"/>
          </w:divBdr>
        </w:div>
        <w:div w:id="1133447583">
          <w:marLeft w:val="0"/>
          <w:marRight w:val="0"/>
          <w:marTop w:val="0"/>
          <w:marBottom w:val="0"/>
          <w:divBdr>
            <w:top w:val="none" w:sz="0" w:space="0" w:color="auto"/>
            <w:left w:val="none" w:sz="0" w:space="0" w:color="auto"/>
            <w:bottom w:val="none" w:sz="0" w:space="0" w:color="auto"/>
            <w:right w:val="none" w:sz="0" w:space="0" w:color="auto"/>
          </w:divBdr>
        </w:div>
      </w:divsChild>
    </w:div>
    <w:div w:id="1333877505">
      <w:bodyDiv w:val="1"/>
      <w:marLeft w:val="0"/>
      <w:marRight w:val="0"/>
      <w:marTop w:val="0"/>
      <w:marBottom w:val="0"/>
      <w:divBdr>
        <w:top w:val="none" w:sz="0" w:space="0" w:color="auto"/>
        <w:left w:val="none" w:sz="0" w:space="0" w:color="auto"/>
        <w:bottom w:val="none" w:sz="0" w:space="0" w:color="auto"/>
        <w:right w:val="none" w:sz="0" w:space="0" w:color="auto"/>
      </w:divBdr>
    </w:div>
    <w:div w:id="153973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endnotes.xml.rels><?xml version="1.0" encoding="UTF-8" standalone="yes"?>
<Relationships xmlns="http://schemas.openxmlformats.org/package/2006/relationships"><Relationship Id="rId2" Type="http://schemas.openxmlformats.org/officeDocument/2006/relationships/hyperlink" Target="https://doi.org/10.1038/s41377-023-01185-4" TargetMode="External"/><Relationship Id="rId1" Type="http://schemas.openxmlformats.org/officeDocument/2006/relationships/hyperlink" Target="https://doi.org/10.1063/5.01356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BE87C-5248-4355-9F78-E81B1B31C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3007</Words>
  <Characters>17140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20107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Mayfield</dc:creator>
  <cp:lastModifiedBy>Colin Mitchell</cp:lastModifiedBy>
  <cp:revision>3</cp:revision>
  <cp:lastPrinted>2024-11-21T10:46:00Z</cp:lastPrinted>
  <dcterms:created xsi:type="dcterms:W3CDTF">2024-11-22T21:10:00Z</dcterms:created>
  <dcterms:modified xsi:type="dcterms:W3CDTF">2024-11-22T21:13:00Z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543d3906e68ebb8a0b7b659ecf8a5e8d0e6ee69a5999b3d5cd09c8b7bd2f7794</vt:lpwstr>
  </property>
  <property fmtid="{D5CDD505-2E9C-101B-9397-08002B2CF9AE}" pid="3" name="_DocHome">
    <vt:i4>1779982418</vt:i4>
  </property>
</Properties>
</file>