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8E0180" w14:textId="334353F3" w:rsidR="009246AD" w:rsidRDefault="00C30747" w:rsidP="00AB34C5">
      <w:pPr>
        <w:pStyle w:val="BATitle"/>
        <w:jc w:val="left"/>
      </w:pPr>
      <w:r>
        <w:t xml:space="preserve">Mid-infrared germanium-on-silicon waveguide </w:t>
      </w:r>
      <w:commentRangeStart w:id="0"/>
      <w:r>
        <w:t xml:space="preserve">sensor </w:t>
      </w:r>
      <w:commentRangeEnd w:id="0"/>
      <w:r w:rsidR="003E5093">
        <w:rPr>
          <w:rStyle w:val="CommentReference"/>
          <w:rFonts w:ascii="Times" w:hAnsi="Times"/>
        </w:rPr>
        <w:commentReference w:id="0"/>
      </w:r>
      <w:r>
        <w:t>for therapeutic drug monitoring</w:t>
      </w:r>
      <w:r w:rsidR="004E4C17">
        <w:t xml:space="preserve"> of </w:t>
      </w:r>
      <w:r w:rsidR="0084299A">
        <w:t>phenytoin</w:t>
      </w:r>
    </w:p>
    <w:p w14:paraId="4BDC8D5A" w14:textId="63B09563" w:rsidR="009246AD" w:rsidRDefault="000C0724" w:rsidP="00AB34C5">
      <w:pPr>
        <w:pStyle w:val="BBAuthorName"/>
        <w:jc w:val="left"/>
      </w:pPr>
      <w:r>
        <w:t>David J. Rowe</w:t>
      </w:r>
      <w:r w:rsidR="00A44E55">
        <w:t>*</w:t>
      </w:r>
      <w:r w:rsidR="00B302C0" w:rsidRPr="00B302C0">
        <w:rPr>
          <w:vertAlign w:val="superscript"/>
        </w:rPr>
        <w:t>+</w:t>
      </w:r>
      <w:r>
        <w:t>, Siyu Chen</w:t>
      </w:r>
      <w:r w:rsidR="00B302C0">
        <w:rPr>
          <w:vertAlign w:val="superscript"/>
        </w:rPr>
        <w:t>+</w:t>
      </w:r>
      <w:r>
        <w:t xml:space="preserve">, </w:t>
      </w:r>
      <w:r w:rsidR="00107169">
        <w:t>Mihai-Adrian Panainte</w:t>
      </w:r>
      <w:r w:rsidR="00AC76FC">
        <w:t>^</w:t>
      </w:r>
      <w:r>
        <w:t>, Callum J. Stirling</w:t>
      </w:r>
      <w:r w:rsidR="00B302C0">
        <w:rPr>
          <w:vertAlign w:val="superscript"/>
        </w:rPr>
        <w:t>+</w:t>
      </w:r>
      <w:r>
        <w:t>,</w:t>
      </w:r>
      <w:r w:rsidR="00796AFB">
        <w:t xml:space="preserve"> Pin Dong</w:t>
      </w:r>
      <w:r w:rsidR="00521E43">
        <w:rPr>
          <w:vertAlign w:val="superscript"/>
        </w:rPr>
        <w:t>o</w:t>
      </w:r>
      <w:r w:rsidR="00796AFB">
        <w:t>,</w:t>
      </w:r>
      <w:r w:rsidR="00BA0AE0">
        <w:t xml:space="preserve"> </w:t>
      </w:r>
      <w:r w:rsidR="00C57B86" w:rsidRPr="00577A0A">
        <w:t xml:space="preserve">Monika </w:t>
      </w:r>
      <w:proofErr w:type="spellStart"/>
      <w:r w:rsidR="00C57B86" w:rsidRPr="00577A0A">
        <w:t>Bakalarz</w:t>
      </w:r>
      <w:proofErr w:type="spellEnd"/>
      <w:r w:rsidR="006377A9" w:rsidRPr="003610A3">
        <w:rPr>
          <w:vertAlign w:val="superscript"/>
        </w:rPr>
        <w:t>+</w:t>
      </w:r>
      <w:r w:rsidR="00C57B86">
        <w:t xml:space="preserve">, </w:t>
      </w:r>
      <w:proofErr w:type="spellStart"/>
      <w:r w:rsidR="00C57B86" w:rsidRPr="00577A0A">
        <w:t>Hanuushah</w:t>
      </w:r>
      <w:proofErr w:type="spellEnd"/>
      <w:r w:rsidR="00C57B86" w:rsidRPr="00577A0A">
        <w:t xml:space="preserve"> </w:t>
      </w:r>
      <w:proofErr w:type="spellStart"/>
      <w:r w:rsidR="00C57B86" w:rsidRPr="00577A0A">
        <w:t>Vizabaskaran</w:t>
      </w:r>
      <w:proofErr w:type="spellEnd"/>
      <w:r w:rsidR="006377A9" w:rsidRPr="003610A3">
        <w:rPr>
          <w:vertAlign w:val="superscript"/>
        </w:rPr>
        <w:t>+</w:t>
      </w:r>
      <w:r w:rsidR="00C57B86">
        <w:t xml:space="preserve">, </w:t>
      </w:r>
      <w:r w:rsidR="00C57B86" w:rsidRPr="00577A0A">
        <w:t>Glenn Churchill</w:t>
      </w:r>
      <w:r w:rsidR="006377A9" w:rsidRPr="003610A3">
        <w:rPr>
          <w:vertAlign w:val="superscript"/>
        </w:rPr>
        <w:t>+</w:t>
      </w:r>
      <w:r w:rsidR="00C57B86">
        <w:t xml:space="preserve">, </w:t>
      </w:r>
      <w:r w:rsidR="00C57B86" w:rsidRPr="00577A0A">
        <w:t>Weilin Jin</w:t>
      </w:r>
      <w:r w:rsidR="006377A9" w:rsidRPr="003610A3">
        <w:rPr>
          <w:vertAlign w:val="superscript"/>
        </w:rPr>
        <w:t>+</w:t>
      </w:r>
      <w:r w:rsidR="00C57B86">
        <w:t xml:space="preserve">, Georgia </w:t>
      </w:r>
      <w:proofErr w:type="spellStart"/>
      <w:r w:rsidR="00C57B86">
        <w:t>Mourkioti</w:t>
      </w:r>
      <w:proofErr w:type="spellEnd"/>
      <w:r w:rsidR="006377A9" w:rsidRPr="003610A3">
        <w:rPr>
          <w:vertAlign w:val="superscript"/>
        </w:rPr>
        <w:t>+</w:t>
      </w:r>
      <w:r w:rsidR="00C57B86">
        <w:t>, Martin Ebert</w:t>
      </w:r>
      <w:r w:rsidR="006377A9" w:rsidRPr="003610A3">
        <w:rPr>
          <w:vertAlign w:val="superscript"/>
        </w:rPr>
        <w:t>+</w:t>
      </w:r>
      <w:r w:rsidR="006377A9">
        <w:t>,</w:t>
      </w:r>
      <w:r w:rsidR="00C57B86">
        <w:t xml:space="preserve"> </w:t>
      </w:r>
      <w:r w:rsidR="00BA0AE0">
        <w:t>Graham T. Reed</w:t>
      </w:r>
      <w:r w:rsidR="003610A3" w:rsidRPr="003610A3">
        <w:rPr>
          <w:vertAlign w:val="superscript"/>
        </w:rPr>
        <w:t>+</w:t>
      </w:r>
      <w:r>
        <w:t>, Saul N. Faust</w:t>
      </w:r>
      <w:r w:rsidR="00521E43">
        <w:t>^</w:t>
      </w:r>
      <w:r w:rsidR="001368E8">
        <w:t xml:space="preserve">, </w:t>
      </w:r>
      <w:r w:rsidR="00DD087B">
        <w:t>James S. Wilkinson</w:t>
      </w:r>
      <w:r w:rsidR="00DD087B" w:rsidRPr="003610A3">
        <w:rPr>
          <w:vertAlign w:val="superscript"/>
        </w:rPr>
        <w:t>+</w:t>
      </w:r>
      <w:r w:rsidR="00DD087B">
        <w:t xml:space="preserve">, </w:t>
      </w:r>
      <w:r w:rsidR="001368E8">
        <w:t>Milos Nedeljkovic</w:t>
      </w:r>
      <w:r w:rsidR="001368E8">
        <w:rPr>
          <w:vertAlign w:val="superscript"/>
        </w:rPr>
        <w:t>+</w:t>
      </w:r>
      <w:r w:rsidR="00F34A88">
        <w:t>, Daniel R. Owens^</w:t>
      </w:r>
      <w:r>
        <w:t xml:space="preserve"> and Goran Z. Mashanovich</w:t>
      </w:r>
      <w:r w:rsidR="00B302C0">
        <w:rPr>
          <w:vertAlign w:val="superscript"/>
        </w:rPr>
        <w:t>+</w:t>
      </w:r>
      <w:r w:rsidR="009246AD">
        <w:t>.</w:t>
      </w:r>
    </w:p>
    <w:p w14:paraId="6727874A" w14:textId="015732E0" w:rsidR="009246AD" w:rsidRDefault="004927C1" w:rsidP="00664F73">
      <w:pPr>
        <w:pStyle w:val="BCAuthorAddress"/>
        <w:jc w:val="left"/>
      </w:pPr>
      <w:r w:rsidRPr="004927C1">
        <w:rPr>
          <w:vertAlign w:val="superscript"/>
        </w:rPr>
        <w:t>+</w:t>
      </w:r>
      <w:r>
        <w:t xml:space="preserve"> </w:t>
      </w:r>
      <w:r w:rsidR="00796AFB">
        <w:t>Optoelectronics Research Centre, University of Southampton, Southampton</w:t>
      </w:r>
      <w:r w:rsidR="00AF2321">
        <w:t xml:space="preserve"> SO17 1BJ</w:t>
      </w:r>
      <w:r w:rsidR="00796AFB">
        <w:t>, U</w:t>
      </w:r>
      <w:r w:rsidR="007C679A">
        <w:t>.</w:t>
      </w:r>
      <w:r w:rsidR="00796AFB">
        <w:t>K</w:t>
      </w:r>
      <w:r w:rsidR="000B5610">
        <w:t>.</w:t>
      </w:r>
      <w:r w:rsidR="00B302C0">
        <w:t xml:space="preserve"> </w:t>
      </w:r>
      <w:r>
        <w:t xml:space="preserve">^ </w:t>
      </w:r>
      <w:r w:rsidR="00664F73">
        <w:t>Faculty of Medicine and Institute for Life Sciences, University of Southampton, Southampton SO16 6YD, and NIHR Southampton Clinical Research Facility and Biomedical Research Centre, University Hospital Southampton NHS Foundation Trust, Southampton SO16 6YD, U</w:t>
      </w:r>
      <w:r w:rsidR="007C679A">
        <w:t>.</w:t>
      </w:r>
      <w:r w:rsidR="00664F73">
        <w:t>K</w:t>
      </w:r>
      <w:r w:rsidR="00AF2321">
        <w:t>.</w:t>
      </w:r>
      <w:r w:rsidR="007C679A">
        <w:t xml:space="preserve"> </w:t>
      </w:r>
      <w:r w:rsidR="00C86DAB" w:rsidRPr="007C679A">
        <w:rPr>
          <w:vertAlign w:val="superscript"/>
        </w:rPr>
        <w:t>o</w:t>
      </w:r>
      <w:r w:rsidR="007C679A">
        <w:t xml:space="preserve"> </w:t>
      </w:r>
      <w:r w:rsidR="007C679A" w:rsidRPr="007C679A">
        <w:t>School of Physics Engineering and Technology, University of York, Heslington, York YO10 5DD, U.K.</w:t>
      </w:r>
    </w:p>
    <w:p w14:paraId="727E1AAA" w14:textId="21ADCD5B" w:rsidR="00683131" w:rsidRPr="00A764EF" w:rsidRDefault="00AB34C5" w:rsidP="00683131">
      <w:pPr>
        <w:pStyle w:val="FACorrespondingAuthorFootnote"/>
        <w:spacing w:after="0"/>
        <w:jc w:val="left"/>
      </w:pPr>
      <w:r>
        <w:t xml:space="preserve">KEYWORDS </w:t>
      </w:r>
      <w:r w:rsidR="00F526FB">
        <w:t>mid-infrared photonics</w:t>
      </w:r>
      <w:r w:rsidR="00756301">
        <w:t>, therapeutic drug monitoring</w:t>
      </w:r>
      <w:r w:rsidR="00F526FB">
        <w:t xml:space="preserve">, biosensing, infrared spectroscopy, tunable </w:t>
      </w:r>
      <w:r w:rsidR="005252FA">
        <w:t>diode laser spectroscopy</w:t>
      </w:r>
      <w:r>
        <w:t>.</w:t>
      </w:r>
      <w:r w:rsidR="00683131">
        <w:t xml:space="preserve"> </w:t>
      </w:r>
    </w:p>
    <w:p w14:paraId="6AD1E477" w14:textId="77777777" w:rsidR="000C05CC" w:rsidRPr="00A764EF" w:rsidRDefault="000C05CC" w:rsidP="00324128">
      <w:pPr>
        <w:pStyle w:val="FACorrespondingAuthorFootnote"/>
        <w:spacing w:after="240"/>
        <w:jc w:val="left"/>
      </w:pPr>
    </w:p>
    <w:p w14:paraId="76E6F1E6" w14:textId="04AF1013" w:rsidR="00AB34C5" w:rsidRPr="008C1EFC" w:rsidRDefault="00AB34C5" w:rsidP="008C1EFC">
      <w:pPr>
        <w:pStyle w:val="BDAbstract"/>
      </w:pPr>
      <w:r>
        <w:t xml:space="preserve">ABSTRACT </w:t>
      </w:r>
      <w:r w:rsidR="00AA5489" w:rsidRPr="008C1EFC">
        <w:t xml:space="preserve">We </w:t>
      </w:r>
      <w:proofErr w:type="gramStart"/>
      <w:r w:rsidR="00AA5489" w:rsidRPr="008C1EFC">
        <w:t>report</w:t>
      </w:r>
      <w:proofErr w:type="gramEnd"/>
      <w:r w:rsidR="00AA5489" w:rsidRPr="008C1EFC">
        <w:t xml:space="preserve"> the design, fabrication and </w:t>
      </w:r>
      <w:r w:rsidR="005B1672" w:rsidRPr="008C1EFC">
        <w:t>characterization</w:t>
      </w:r>
      <w:r w:rsidR="00AA5489" w:rsidRPr="008C1EFC">
        <w:t xml:space="preserve"> of </w:t>
      </w:r>
      <w:r w:rsidR="000073D0" w:rsidRPr="008C1EFC">
        <w:t xml:space="preserve">evanescent </w:t>
      </w:r>
      <w:r w:rsidR="00AA5489" w:rsidRPr="008C1EFC">
        <w:t>m</w:t>
      </w:r>
      <w:r w:rsidR="005E1E6C" w:rsidRPr="008C1EFC">
        <w:t xml:space="preserve">id-infrared </w:t>
      </w:r>
      <w:proofErr w:type="gramStart"/>
      <w:r w:rsidR="005E1E6C" w:rsidRPr="008C1EFC">
        <w:t>germanium</w:t>
      </w:r>
      <w:proofErr w:type="gramEnd"/>
      <w:r w:rsidR="005E1E6C" w:rsidRPr="008C1EFC">
        <w:t xml:space="preserve">-on-silicon waveguide sensors for therapeutic drug monitoring (TDM). </w:t>
      </w:r>
      <w:r w:rsidR="0021484B" w:rsidRPr="008C1EFC">
        <w:t xml:space="preserve">The sensors incorporate a passive microfluidic confinement structure to define the light-sample interaction </w:t>
      </w:r>
      <w:r w:rsidR="0021484B" w:rsidRPr="008C1EFC">
        <w:lastRenderedPageBreak/>
        <w:t xml:space="preserve">length. </w:t>
      </w:r>
      <w:r w:rsidR="005E1E6C" w:rsidRPr="008C1EFC">
        <w:t xml:space="preserve">Tunable diode laser absorption spectroscopy was </w:t>
      </w:r>
      <w:r w:rsidR="004947F6" w:rsidRPr="008C1EFC">
        <w:t xml:space="preserve">used </w:t>
      </w:r>
      <w:r w:rsidR="005E1E6C" w:rsidRPr="008C1EFC">
        <w:t xml:space="preserve">to </w:t>
      </w:r>
      <w:r w:rsidR="00C36F72" w:rsidRPr="008C1EFC">
        <w:t>analyze</w:t>
      </w:r>
      <w:r w:rsidR="004947F6" w:rsidRPr="008C1EFC">
        <w:t xml:space="preserve"> dried samples </w:t>
      </w:r>
      <w:r w:rsidR="005E1E6C" w:rsidRPr="008C1EFC">
        <w:t>of the anti-seizure medication phenytoin</w:t>
      </w:r>
      <w:r w:rsidR="003536F2" w:rsidRPr="008C1EFC">
        <w:t xml:space="preserve"> in the spectral region of </w:t>
      </w:r>
      <w:r w:rsidR="00872BA6" w:rsidRPr="008C1EFC">
        <w:rPr>
          <w:rFonts w:cs="Times"/>
        </w:rPr>
        <w:t>λ</w:t>
      </w:r>
      <w:r w:rsidR="006407F3" w:rsidRPr="008C1EFC">
        <w:rPr>
          <w:rFonts w:cs="Times"/>
        </w:rPr>
        <w:t xml:space="preserve"> = 5.6 – 6.0 </w:t>
      </w:r>
      <w:r w:rsidR="00872BA6" w:rsidRPr="008C1EFC">
        <w:rPr>
          <w:rFonts w:cs="Times"/>
        </w:rPr>
        <w:t>µ</w:t>
      </w:r>
      <w:r w:rsidR="00872BA6" w:rsidRPr="008C1EFC">
        <w:t>m</w:t>
      </w:r>
      <w:r w:rsidR="000F0360">
        <w:t xml:space="preserve">. </w:t>
      </w:r>
      <w:r w:rsidR="00375720" w:rsidRPr="008C1EFC">
        <w:t xml:space="preserve">A limit of detection of </w:t>
      </w:r>
      <w:r w:rsidR="00A61787">
        <w:t>2.20</w:t>
      </w:r>
      <w:r w:rsidR="00375720" w:rsidRPr="008C1EFC">
        <w:t xml:space="preserve"> mg/L was achieved for </w:t>
      </w:r>
      <w:r w:rsidR="00052F3E" w:rsidRPr="008C1EFC">
        <w:t xml:space="preserve">extracted </w:t>
      </w:r>
      <w:r w:rsidR="005E1E6C" w:rsidRPr="008C1EFC">
        <w:t>samples</w:t>
      </w:r>
      <w:r w:rsidR="00052F3E" w:rsidRPr="008C1EFC">
        <w:t>, where</w:t>
      </w:r>
      <w:r w:rsidR="005E1E6C" w:rsidRPr="008C1EFC">
        <w:t xml:space="preserve"> </w:t>
      </w:r>
      <w:r w:rsidR="000073D0" w:rsidRPr="008C1EFC">
        <w:t xml:space="preserve">phenytoin was first added to </w:t>
      </w:r>
      <w:r w:rsidR="005E1E6C" w:rsidRPr="008C1EFC">
        <w:t xml:space="preserve">human serum </w:t>
      </w:r>
      <w:r w:rsidR="000073D0" w:rsidRPr="008C1EFC">
        <w:t xml:space="preserve">and subsequently </w:t>
      </w:r>
      <w:r w:rsidR="005B487A" w:rsidRPr="008C1EFC">
        <w:t xml:space="preserve">isolated </w:t>
      </w:r>
      <w:r w:rsidR="005E1E6C" w:rsidRPr="008C1EFC">
        <w:t xml:space="preserve">using liquid-liquid </w:t>
      </w:r>
      <w:r w:rsidR="005E1E6C" w:rsidRPr="00BB4C31">
        <w:t>extraction. Th</w:t>
      </w:r>
      <w:r w:rsidR="00EC40A9" w:rsidRPr="00BB4C31">
        <w:t>is</w:t>
      </w:r>
      <w:r w:rsidR="005E1E6C" w:rsidRPr="00BB4C31">
        <w:t xml:space="preserve"> </w:t>
      </w:r>
      <w:r w:rsidR="00405FA4" w:rsidRPr="00BB4C31">
        <w:t xml:space="preserve">limit </w:t>
      </w:r>
      <w:r w:rsidR="00EC40A9" w:rsidRPr="00BB4C31">
        <w:t>is</w:t>
      </w:r>
      <w:r w:rsidR="00405FA4" w:rsidRPr="00BB4C31">
        <w:t xml:space="preserve"> significantly below </w:t>
      </w:r>
      <w:r w:rsidR="005E1E6C" w:rsidRPr="00BB4C31">
        <w:t>the therapeutic window of 10</w:t>
      </w:r>
      <w:r w:rsidR="00565043" w:rsidRPr="00BB4C31">
        <w:t xml:space="preserve"> </w:t>
      </w:r>
      <w:r w:rsidR="005E1E6C" w:rsidRPr="00BB4C31">
        <w:t>–</w:t>
      </w:r>
      <w:r w:rsidR="00565043" w:rsidRPr="00BB4C31">
        <w:t xml:space="preserve"> </w:t>
      </w:r>
      <w:r w:rsidR="005E1E6C" w:rsidRPr="00BB4C31">
        <w:t>20 mg/L for phenytoin</w:t>
      </w:r>
      <w:r w:rsidR="00BE2418" w:rsidRPr="00BB4C31">
        <w:t xml:space="preserve">, </w:t>
      </w:r>
      <w:r w:rsidR="00764D28" w:rsidRPr="00BB4C31">
        <w:t xml:space="preserve">enabling detection of sub‑therapeutic concentrations. At the same time, the sensor maintains a consistent dose‑dependent response up to 40 mg/L, demonstrating its capability to quantify concentrations </w:t>
      </w:r>
      <w:r w:rsidR="002F58F3" w:rsidRPr="00BB4C31">
        <w:t xml:space="preserve">across the </w:t>
      </w:r>
      <w:r w:rsidR="00F54155" w:rsidRPr="00BB4C31">
        <w:t xml:space="preserve">therapeutic window and </w:t>
      </w:r>
      <w:r w:rsidR="00764D28" w:rsidRPr="00BB4C31">
        <w:t>above the upper therapeutic limit</w:t>
      </w:r>
      <w:r w:rsidR="00A8725A" w:rsidRPr="00BB4C31">
        <w:t>.</w:t>
      </w:r>
      <w:r w:rsidR="007451BE" w:rsidRPr="008C1EFC">
        <w:t xml:space="preserve"> This </w:t>
      </w:r>
      <w:commentRangeStart w:id="1"/>
      <w:commentRangeEnd w:id="1"/>
      <w:r w:rsidR="003E5093">
        <w:rPr>
          <w:rStyle w:val="CommentReference"/>
        </w:rPr>
        <w:commentReference w:id="1"/>
      </w:r>
      <w:r w:rsidR="00956FA4" w:rsidRPr="008C1EFC">
        <w:t xml:space="preserve">validates the use of silicon photonics for biomedical </w:t>
      </w:r>
      <w:r w:rsidR="007451BE" w:rsidRPr="008C1EFC">
        <w:t xml:space="preserve">infrared spectroscopy </w:t>
      </w:r>
      <w:r w:rsidR="00233908" w:rsidRPr="008C1EFC">
        <w:t xml:space="preserve">for </w:t>
      </w:r>
      <w:r w:rsidR="005E1E6C" w:rsidRPr="008C1EFC">
        <w:t xml:space="preserve">patients undergoing </w:t>
      </w:r>
      <w:r w:rsidR="00F014AB" w:rsidRPr="008C1EFC">
        <w:t xml:space="preserve">drug therapy, </w:t>
      </w:r>
      <w:commentRangeStart w:id="2"/>
      <w:commentRangeStart w:id="3"/>
      <w:r w:rsidR="001B00B5">
        <w:t xml:space="preserve">whether </w:t>
      </w:r>
      <w:r w:rsidR="00F014AB" w:rsidRPr="008C1EFC">
        <w:t xml:space="preserve">the </w:t>
      </w:r>
      <w:r w:rsidR="001B00B5">
        <w:t>serum-</w:t>
      </w:r>
      <w:r w:rsidR="00F014AB" w:rsidRPr="008C1EFC">
        <w:t xml:space="preserve">drug concentration is </w:t>
      </w:r>
      <w:r w:rsidR="001B00B5">
        <w:t xml:space="preserve">either </w:t>
      </w:r>
      <w:r w:rsidR="00F014AB" w:rsidRPr="008C1EFC">
        <w:t xml:space="preserve">too high </w:t>
      </w:r>
      <w:r w:rsidR="001B00B5">
        <w:t xml:space="preserve">or </w:t>
      </w:r>
      <w:r w:rsidR="00F014AB" w:rsidRPr="008C1EFC">
        <w:t>too low.</w:t>
      </w:r>
      <w:commentRangeEnd w:id="2"/>
      <w:r w:rsidR="001D5411" w:rsidRPr="008C1EFC">
        <w:rPr>
          <w:rStyle w:val="CommentReference"/>
          <w:sz w:val="24"/>
          <w:szCs w:val="20"/>
        </w:rPr>
        <w:commentReference w:id="2"/>
      </w:r>
      <w:commentRangeEnd w:id="3"/>
      <w:r w:rsidR="00777E7D" w:rsidRPr="008C1EFC">
        <w:rPr>
          <w:rStyle w:val="CommentReference"/>
          <w:sz w:val="24"/>
          <w:szCs w:val="20"/>
        </w:rPr>
        <w:commentReference w:id="3"/>
      </w:r>
    </w:p>
    <w:p w14:paraId="58E0CAA1" w14:textId="77777777" w:rsidR="008C1EFC" w:rsidRPr="008C1EFC" w:rsidRDefault="008C1EFC" w:rsidP="008C1EFC">
      <w:pPr>
        <w:pStyle w:val="TAMainText"/>
      </w:pPr>
    </w:p>
    <w:p w14:paraId="39C818FD" w14:textId="57E5C4C5" w:rsidR="00D20343" w:rsidRDefault="005769FE" w:rsidP="00D20343">
      <w:pPr>
        <w:pStyle w:val="TAMainText"/>
        <w:ind w:firstLine="0"/>
        <w:jc w:val="left"/>
      </w:pPr>
      <w:r>
        <w:t>INTRODUCTION</w:t>
      </w:r>
      <w:r w:rsidR="00AB34C5">
        <w:t xml:space="preserve"> </w:t>
      </w:r>
      <w:r w:rsidR="0047064E">
        <w:t xml:space="preserve">Therapeutic drug monitoring (TDM) </w:t>
      </w:r>
      <w:r w:rsidR="00C31F1A">
        <w:t xml:space="preserve">is the process of measuring </w:t>
      </w:r>
      <w:r w:rsidR="001504E1">
        <w:t xml:space="preserve">the concentration of a medicine </w:t>
      </w:r>
      <w:r w:rsidR="00335193">
        <w:t xml:space="preserve">from the serum of a patient receiving the drug </w:t>
      </w:r>
      <w:r w:rsidR="004D6746">
        <w:t>to ensure safe and effective dosing</w:t>
      </w:r>
      <w:r w:rsidR="00AB34C5">
        <w:t>.</w:t>
      </w:r>
      <w:r w:rsidR="004D6746">
        <w:t xml:space="preserve"> It enables a clinician to alter the dose and timing of the </w:t>
      </w:r>
      <w:r w:rsidR="00395267">
        <w:t xml:space="preserve">drug depending on whether the level is too high or too low. </w:t>
      </w:r>
      <w:r w:rsidR="00E20656">
        <w:t xml:space="preserve">This is </w:t>
      </w:r>
      <w:r w:rsidR="005C0918">
        <w:t>particular</w:t>
      </w:r>
      <w:r w:rsidR="00BF2FB8">
        <w:t>ly</w:t>
      </w:r>
      <w:r w:rsidR="005C0918">
        <w:t xml:space="preserve"> important for</w:t>
      </w:r>
      <w:r w:rsidR="005E4473">
        <w:t xml:space="preserve"> drugs with a narrow therapeutic window </w:t>
      </w:r>
      <w:r w:rsidR="5F6E867C">
        <w:t>that cause</w:t>
      </w:r>
      <w:r w:rsidR="005E4473">
        <w:t xml:space="preserve"> toxicity</w:t>
      </w:r>
      <w:r w:rsidR="00BF2FB8">
        <w:t xml:space="preserve"> such as </w:t>
      </w:r>
      <w:r w:rsidR="00A34031">
        <w:t xml:space="preserve">the anti-seizure </w:t>
      </w:r>
      <w:commentRangeStart w:id="4"/>
      <w:r w:rsidR="00A34031">
        <w:t>medi</w:t>
      </w:r>
      <w:r w:rsidR="00B758CF">
        <w:t>c</w:t>
      </w:r>
      <w:r w:rsidR="00A34031">
        <w:t xml:space="preserve">ation </w:t>
      </w:r>
      <w:commentRangeEnd w:id="4"/>
      <w:r w:rsidR="00321F02">
        <w:rPr>
          <w:rStyle w:val="CommentReference"/>
          <w:sz w:val="24"/>
          <w:szCs w:val="20"/>
        </w:rPr>
        <w:commentReference w:id="4"/>
      </w:r>
      <w:r w:rsidR="00A34031">
        <w:t>phenytoin</w:t>
      </w:r>
      <w:r w:rsidR="00F43DC7">
        <w:t>,</w:t>
      </w:r>
      <w:r w:rsidR="00BF2FB8">
        <w:t xml:space="preserve"> used for the management of epilepsy.</w:t>
      </w:r>
    </w:p>
    <w:p w14:paraId="36F86113" w14:textId="17555EFE" w:rsidR="00524103" w:rsidRPr="00D20343" w:rsidRDefault="001D3820" w:rsidP="00BA25B9">
      <w:pPr>
        <w:pStyle w:val="TAMainText"/>
      </w:pPr>
      <w:r>
        <w:t xml:space="preserve">Conventional </w:t>
      </w:r>
      <w:r w:rsidR="00113D62">
        <w:t xml:space="preserve">analytical </w:t>
      </w:r>
      <w:r>
        <w:t xml:space="preserve">methods </w:t>
      </w:r>
      <w:r w:rsidR="00113D62">
        <w:t>for performing TDM</w:t>
      </w:r>
      <w:r w:rsidR="007B5E45">
        <w:t xml:space="preserve"> generally use </w:t>
      </w:r>
      <w:r w:rsidR="002037C7">
        <w:t xml:space="preserve">laboratory techniques such as </w:t>
      </w:r>
      <w:r w:rsidR="00C945BF">
        <w:t>chromatography</w:t>
      </w:r>
      <w:r w:rsidR="001D3DD8">
        <w:t xml:space="preserve"> and mass spectrometry</w:t>
      </w:r>
      <w:r w:rsidR="00C945BF">
        <w:t xml:space="preserve">. </w:t>
      </w:r>
      <w:r w:rsidR="00F22151">
        <w:t xml:space="preserve">Such </w:t>
      </w:r>
      <w:r w:rsidR="00C945BF">
        <w:t xml:space="preserve">methods </w:t>
      </w:r>
      <w:r w:rsidR="00F22151">
        <w:t xml:space="preserve">require </w:t>
      </w:r>
      <w:r w:rsidR="00C36F72">
        <w:t>centralized</w:t>
      </w:r>
      <w:r w:rsidR="00A65192">
        <w:t xml:space="preserve"> infrastructure and </w:t>
      </w:r>
      <w:r w:rsidR="00F22151">
        <w:t>specialist personnel to process samples and operate equipment</w:t>
      </w:r>
      <w:r w:rsidR="00A65192">
        <w:t>.</w:t>
      </w:r>
      <w:r w:rsidR="008241EB">
        <w:t xml:space="preserve"> These methods have high batch efficiency, where </w:t>
      </w:r>
      <w:r w:rsidR="00D23BC0">
        <w:t>many samples can be processed simultaneously, but</w:t>
      </w:r>
      <w:r w:rsidR="004A0D91">
        <w:t xml:space="preserve"> </w:t>
      </w:r>
      <w:r w:rsidR="006F55C4">
        <w:t>systematically</w:t>
      </w:r>
      <w:r w:rsidR="004A0D91">
        <w:t xml:space="preserve"> introduce delays of several hours for routine tests</w:t>
      </w:r>
      <w:r w:rsidR="00183696">
        <w:fldChar w:fldCharType="begin"/>
      </w:r>
      <w:r w:rsidR="00183696">
        <w:instrText xml:space="preserve"> ADDIN EN.CITE &lt;EndNote&gt;&lt;Cite&gt;&lt;Author&gt;Xiao&lt;/Author&gt;&lt;Year&gt;2024&lt;/Year&gt;&lt;RecNum&gt;820&lt;/RecNum&gt;&lt;DisplayText&gt;&lt;style face="superscript"&gt;1&lt;/style&gt;&lt;/DisplayText&gt;&lt;record&gt;&lt;rec-number&gt;820&lt;/rec-number&gt;&lt;foreign-keys&gt;&lt;key app="EN" db-id="5e2s9zseqvvrtce0z055xzx4x0tfxapvz0tw" timestamp="1769784830"&gt;820&lt;/key&gt;&lt;/foreign-keys&gt;&lt;ref-type name="Journal Article"&gt;17&lt;/ref-type&gt;&lt;contributors&gt;&lt;authors&gt;&lt;author&gt;Xiao, Yufei&lt;/author&gt;&lt;author&gt;Xu, Lingcheng&lt;/author&gt;&lt;author&gt;Qian, Yun&lt;/author&gt;&lt;author&gt;Xu, Yang&lt;/author&gt;&lt;/authors&gt;&lt;/contributors&gt;&lt;titles&gt;&lt;title&gt;Identification and characterization of critical values in therapeutic drug monitoring: a retrospective analysis&lt;/title&gt;&lt;secondary-title&gt;Scientific Reports&lt;/secondary-title&gt;&lt;/titles&gt;&lt;periodical&gt;&lt;full-title&gt;Scientific Reports&lt;/full-title&gt;&lt;/periodical&gt;&lt;pages&gt;11520&lt;/pages&gt;&lt;volume&gt;14&lt;/volume&gt;&lt;number&gt;1&lt;/number&gt;&lt;dates&gt;&lt;year&gt;2024&lt;/year&gt;&lt;pub-dates&gt;&lt;date&gt;2024/05/21&lt;/date&gt;&lt;/pub-dates&gt;&lt;/dates&gt;&lt;isbn&gt;2045-2322&lt;/isbn&gt;&lt;urls&gt;&lt;related-urls&gt;&lt;url&gt;https://doi.org/10.1038/s41598-024-62402-7&lt;/url&gt;&lt;/related-urls&gt;&lt;/urls&gt;&lt;electronic-resource-num&gt;10.1038/s41598-024-62402-7&lt;/electronic-resource-num&gt;&lt;/record&gt;&lt;/Cite&gt;&lt;/EndNote&gt;</w:instrText>
      </w:r>
      <w:r w:rsidR="00183696">
        <w:fldChar w:fldCharType="separate"/>
      </w:r>
      <w:r w:rsidR="00183696" w:rsidRPr="00183696">
        <w:rPr>
          <w:noProof/>
          <w:vertAlign w:val="superscript"/>
        </w:rPr>
        <w:t>1</w:t>
      </w:r>
      <w:r w:rsidR="00183696">
        <w:fldChar w:fldCharType="end"/>
      </w:r>
      <w:r w:rsidR="004A0D91">
        <w:t>.</w:t>
      </w:r>
      <w:r>
        <w:t xml:space="preserve"> </w:t>
      </w:r>
      <w:r w:rsidR="00C235B9">
        <w:t xml:space="preserve">Immunoassay kits </w:t>
      </w:r>
      <w:r w:rsidR="000D2C42">
        <w:t xml:space="preserve">enable </w:t>
      </w:r>
      <w:r w:rsidR="00557588">
        <w:t xml:space="preserve">faster turnaround time by </w:t>
      </w:r>
      <w:r w:rsidR="000D2C42">
        <w:t xml:space="preserve">testing at the scale of individual </w:t>
      </w:r>
      <w:r w:rsidR="00576D3D">
        <w:t xml:space="preserve">patients </w:t>
      </w:r>
      <w:r w:rsidR="000D2C42">
        <w:t xml:space="preserve">but suffer from issues with </w:t>
      </w:r>
      <w:r w:rsidR="00576D3D">
        <w:t>specificity and cross-</w:t>
      </w:r>
      <w:r w:rsidR="00576D3D">
        <w:lastRenderedPageBreak/>
        <w:t>reactivity</w:t>
      </w:r>
      <w:r w:rsidR="005055C6">
        <w:fldChar w:fldCharType="begin"/>
      </w:r>
      <w:r w:rsidR="005055C6">
        <w:instrText xml:space="preserve"> ADDIN EN.CITE &lt;EndNote&gt;&lt;Cite&gt;&lt;Author&gt;Sotnikov&lt;/Author&gt;&lt;Year&gt;2021&lt;/Year&gt;&lt;RecNum&gt;821&lt;/RecNum&gt;&lt;DisplayText&gt;&lt;style face="superscript"&gt;2&lt;/style&gt;&lt;/DisplayText&gt;&lt;record&gt;&lt;rec-number&gt;821&lt;/rec-number&gt;&lt;foreign-keys&gt;&lt;key app="EN" db-id="5e2s9zseqvvrtce0z055xzx4x0tfxapvz0tw" timestamp="1769785181"&gt;821&lt;/key&gt;&lt;/foreign-keys&gt;&lt;ref-type name="Electronic Article"&gt;43&lt;/ref-type&gt;&lt;contributors&gt;&lt;authors&gt;&lt;author&gt;Sotnikov, Dmitriy V.&lt;/author&gt;&lt;author&gt;Zherdev, Anatoly V.&lt;/author&gt;&lt;author&gt;Zvereva, Elena A.&lt;/author&gt;&lt;author&gt;Eremin, Sergei A.&lt;/author&gt;&lt;author&gt;Dzantiev, Boris B.&lt;/author&gt;&lt;/authors&gt;&lt;/contributors&gt;&lt;titles&gt;&lt;title&gt;Changing Cross-Reactivity for Different Immunoassays Using the Same Antibodies: Theoretical Description and Experimental Confirmation&lt;/title&gt;&lt;secondary-title&gt;Applied Sciences&lt;/secondary-title&gt;&lt;/titles&gt;&lt;periodical&gt;&lt;full-title&gt;Applied Sciences&lt;/full-title&gt;&lt;/periodical&gt;&lt;pages&gt;6581&lt;/pages&gt;&lt;volume&gt;11&lt;/volume&gt;&lt;number&gt;14&lt;/number&gt;&lt;keywords&gt;&lt;keyword&gt;immunodetection&lt;/keyword&gt;&lt;keyword&gt;specificity of antibodies&lt;/keyword&gt;&lt;keyword&gt;cross-reactivity&lt;/keyword&gt;&lt;keyword&gt;mathematical modeling&lt;/keyword&gt;&lt;keyword&gt;competitive interactions&lt;/keyword&gt;&lt;keyword&gt;enzyme immunoassay&lt;/keyword&gt;&lt;keyword&gt;fluorescence polarization immunoassay&lt;/keyword&gt;&lt;keyword&gt;sulfonamides&lt;/keyword&gt;&lt;keyword&gt;fluoroquinolones&lt;/keyword&gt;&lt;/keywords&gt;&lt;dates&gt;&lt;year&gt;2021&lt;/year&gt;&lt;/dates&gt;&lt;isbn&gt;2076-3417&lt;/isbn&gt;&lt;urls&gt;&lt;/urls&gt;&lt;electronic-resource-num&gt;10.3390/app11146581&lt;/electronic-resource-num&gt;&lt;/record&gt;&lt;/Cite&gt;&lt;/EndNote&gt;</w:instrText>
      </w:r>
      <w:r w:rsidR="005055C6">
        <w:fldChar w:fldCharType="separate"/>
      </w:r>
      <w:r w:rsidR="005055C6" w:rsidRPr="005055C6">
        <w:rPr>
          <w:noProof/>
          <w:vertAlign w:val="superscript"/>
        </w:rPr>
        <w:t>2</w:t>
      </w:r>
      <w:r w:rsidR="005055C6">
        <w:fldChar w:fldCharType="end"/>
      </w:r>
      <w:r w:rsidR="00BF1741">
        <w:t xml:space="preserve"> while remaining </w:t>
      </w:r>
      <w:r w:rsidR="00DF5DAA">
        <w:t xml:space="preserve">inherent laboratory-based methods </w:t>
      </w:r>
      <w:r w:rsidR="008F387A">
        <w:t>because of their microplate format</w:t>
      </w:r>
      <w:r w:rsidR="00576D3D">
        <w:t xml:space="preserve">. </w:t>
      </w:r>
      <w:r w:rsidR="00E92196">
        <w:t xml:space="preserve">In contrast, a </w:t>
      </w:r>
      <w:r>
        <w:t>point-of-care method</w:t>
      </w:r>
      <w:r w:rsidR="00E92196">
        <w:t xml:space="preserve"> operable by the non-expert user would enable clinicians to obtain the relevant information directly </w:t>
      </w:r>
      <w:r w:rsidR="00796333">
        <w:t xml:space="preserve">in hospital, </w:t>
      </w:r>
      <w:r w:rsidR="006575D3">
        <w:t>primary care</w:t>
      </w:r>
      <w:r w:rsidR="627795D3">
        <w:t xml:space="preserve"> </w:t>
      </w:r>
      <w:commentRangeStart w:id="5"/>
      <w:r w:rsidR="627795D3">
        <w:t>or in the homes</w:t>
      </w:r>
      <w:r w:rsidR="00B31964">
        <w:t xml:space="preserve"> of patients</w:t>
      </w:r>
      <w:commentRangeEnd w:id="5"/>
      <w:r>
        <w:rPr>
          <w:rStyle w:val="CommentReference"/>
          <w:sz w:val="24"/>
          <w:szCs w:val="20"/>
        </w:rPr>
        <w:commentReference w:id="5"/>
      </w:r>
      <w:r w:rsidR="00E92196">
        <w:t>.</w:t>
      </w:r>
      <w:r w:rsidR="00BA25B9">
        <w:t xml:space="preserve"> </w:t>
      </w:r>
      <w:r w:rsidR="00BA25B9" w:rsidRPr="00BA25B9">
        <w:t xml:space="preserve">This need for locally delivered testing aligns with </w:t>
      </w:r>
      <w:r w:rsidR="00C6759D">
        <w:t>current</w:t>
      </w:r>
      <w:r w:rsidR="00BA25B9" w:rsidRPr="00BA25B9">
        <w:t xml:space="preserve"> UK </w:t>
      </w:r>
      <w:proofErr w:type="spellStart"/>
      <w:r w:rsidR="00BA25B9" w:rsidRPr="00BA25B9">
        <w:t>government</w:t>
      </w:r>
      <w:r w:rsidR="00C6759D">
        <w:t>G</w:t>
      </w:r>
      <w:r w:rsidR="00BA25B9" w:rsidRPr="00BA25B9">
        <w:t>overnment</w:t>
      </w:r>
      <w:proofErr w:type="spellEnd"/>
      <w:r w:rsidR="00BA25B9" w:rsidRPr="00BA25B9">
        <w:t xml:space="preserve"> policy </w:t>
      </w:r>
      <w:r w:rsidR="00C6759D">
        <w:t>driving</w:t>
      </w:r>
      <w:r w:rsidR="00BA25B9" w:rsidRPr="00BA25B9">
        <w:t xml:space="preserve"> a shift in NHS services from hospital</w:t>
      </w:r>
      <w:r w:rsidR="00BA25B9" w:rsidRPr="00BA25B9">
        <w:noBreakHyphen/>
        <w:t>based care toward community</w:t>
      </w:r>
      <w:r w:rsidR="00BA25B9" w:rsidRPr="00BA25B9">
        <w:noBreakHyphen/>
      </w:r>
      <w:r w:rsidR="00E46267" w:rsidRPr="00BA25B9">
        <w:t>centered</w:t>
      </w:r>
      <w:r w:rsidR="00BA25B9" w:rsidRPr="00BA25B9">
        <w:t xml:space="preserve"> provision, aimed at improving access and reducing reliance on acute facilities</w:t>
      </w:r>
      <w:r w:rsidR="0029441C">
        <w:fldChar w:fldCharType="begin"/>
      </w:r>
      <w:r w:rsidR="005055C6">
        <w:instrText xml:space="preserve"> ADDIN EN.CITE &lt;EndNote&gt;&lt;Cite ExcludeYear="1"&gt;&lt;Author&gt;Anderson&lt;/Author&gt;&lt;RecNum&gt;841&lt;/RecNum&gt;&lt;DisplayText&gt;&lt;style face="superscript"&gt;3&lt;/style&gt;&lt;/DisplayText&gt;&lt;record&gt;&lt;rec-number&gt;841&lt;/rec-number&gt;&lt;foreign-keys&gt;&lt;key app="EN" db-id="fzva0ad2rzdftzers08v0dsmt5f0wsvfex5r" timestamp="1769701257"&gt;841&lt;/key&gt;&lt;/foreign-keys&gt;&lt;ref-type name="Journal Article"&gt;17&lt;/ref-type&gt;&lt;contributors&gt;&lt;authors&gt;&lt;author&gt;Anderson, Michael&lt;/author&gt;&lt;author&gt;Pitchforth, Emma&lt;/author&gt;&lt;author&gt;McGuire, Alistair&lt;/author&gt;&lt;author&gt;Mossialos, Elias&lt;/author&gt;&lt;/authors&gt;&lt;/contributors&gt;&lt;titles&gt;&lt;title&gt;The NHS 10-year plan: between aspiration and implementation&lt;/title&gt;&lt;secondary-title&gt;The Lancet&lt;/secondary-title&gt;&lt;/titles&gt;&lt;periodical&gt;&lt;full-title&gt;The Lancet&lt;/full-title&gt;&lt;abbr-1&gt;Lancet&lt;/abbr-1&gt;&lt;/periodical&gt;&lt;dates&gt;&lt;/dates&gt;&lt;publisher&gt;Elsevier&lt;/publisher&gt;&lt;isbn&gt;0140-6736&lt;/isbn&gt;&lt;urls&gt;&lt;related-urls&gt;&lt;url&gt;https://doi.org/10.1016/S0140-6736(26)00035-8&lt;/url&gt;&lt;/related-urls&gt;&lt;/urls&gt;&lt;electronic-resource-num&gt;10.1016/S0140-6736(26)00035-8&lt;/electronic-resource-num&gt;&lt;/record&gt;&lt;/Cite&gt;&lt;/EndNote&gt;</w:instrText>
      </w:r>
      <w:r w:rsidR="0029441C">
        <w:fldChar w:fldCharType="separate"/>
      </w:r>
      <w:r w:rsidR="005055C6" w:rsidRPr="005055C6">
        <w:rPr>
          <w:noProof/>
          <w:vertAlign w:val="superscript"/>
        </w:rPr>
        <w:t>3</w:t>
      </w:r>
      <w:r w:rsidR="0029441C">
        <w:fldChar w:fldCharType="end"/>
      </w:r>
      <w:r w:rsidR="00BA25B9" w:rsidRPr="00BA25B9">
        <w:t>.</w:t>
      </w:r>
    </w:p>
    <w:p w14:paraId="58559CD1" w14:textId="0965CC6F" w:rsidR="00D20343" w:rsidRPr="00AB3DAD" w:rsidRDefault="00610143" w:rsidP="00D20343">
      <w:pPr>
        <w:pStyle w:val="TAMainText"/>
      </w:pPr>
      <w:r w:rsidRPr="00657BDE">
        <w:t xml:space="preserve">Optical methods are suitable for point-of-care implementation because the </w:t>
      </w:r>
      <w:r w:rsidR="00CC12E1" w:rsidRPr="00657BDE">
        <w:t xml:space="preserve">light-sample interaction is more easily automated and </w:t>
      </w:r>
      <w:r w:rsidR="00C36F72" w:rsidRPr="00657BDE">
        <w:t>miniaturiz</w:t>
      </w:r>
      <w:r w:rsidR="00C36F72" w:rsidRPr="00657BDE">
        <w:rPr>
          <w:rStyle w:val="CommentReference"/>
          <w:sz w:val="24"/>
          <w:szCs w:val="20"/>
        </w:rPr>
        <w:t>e</w:t>
      </w:r>
      <w:r w:rsidR="00C36F72" w:rsidRPr="00657BDE">
        <w:t>d</w:t>
      </w:r>
      <w:r w:rsidR="00CC12E1" w:rsidRPr="00657BDE">
        <w:t xml:space="preserve"> </w:t>
      </w:r>
      <w:r w:rsidR="00CD62C7" w:rsidRPr="00657BDE">
        <w:t>in comparison with chemical methods</w:t>
      </w:r>
      <w:r w:rsidR="00D20343" w:rsidRPr="00657BDE">
        <w:t>. Two such methods are surface-enhanced Raman spectroscopy (</w:t>
      </w:r>
      <w:r w:rsidR="00CC12E1" w:rsidRPr="00657BDE">
        <w:t>SERS</w:t>
      </w:r>
      <w:r w:rsidR="00D20343" w:rsidRPr="00657BDE">
        <w:t>)</w:t>
      </w:r>
      <w:r w:rsidR="00CC12E1" w:rsidRPr="00657BDE">
        <w:t xml:space="preserve"> and </w:t>
      </w:r>
      <w:r w:rsidR="005347C8" w:rsidRPr="00657BDE">
        <w:t>mid-</w:t>
      </w:r>
      <w:r w:rsidR="00D20343" w:rsidRPr="00657BDE">
        <w:t>infrared (mid-</w:t>
      </w:r>
      <w:r w:rsidR="005347C8" w:rsidRPr="00657BDE">
        <w:t>IR</w:t>
      </w:r>
      <w:r w:rsidR="00D20343" w:rsidRPr="00657BDE">
        <w:t>)</w:t>
      </w:r>
      <w:r w:rsidR="005347C8" w:rsidRPr="00657BDE">
        <w:t xml:space="preserve"> </w:t>
      </w:r>
      <w:r w:rsidR="005347C8" w:rsidRPr="00AB3DAD">
        <w:t>absorption spectroscopy</w:t>
      </w:r>
      <w:r w:rsidR="00D20343" w:rsidRPr="00AB3DAD">
        <w:t>.</w:t>
      </w:r>
    </w:p>
    <w:p w14:paraId="395E8A12" w14:textId="14F84096" w:rsidR="00D20343" w:rsidRPr="00AB3DAD" w:rsidRDefault="00D20343" w:rsidP="00D20343">
      <w:pPr>
        <w:pStyle w:val="TAMainText"/>
      </w:pPr>
      <w:r w:rsidRPr="00AB3DAD">
        <w:t>SERS</w:t>
      </w:r>
      <w:r w:rsidR="00C164CF" w:rsidRPr="00AB3DAD">
        <w:t xml:space="preserve"> exploits the highly intense electromagnetic field</w:t>
      </w:r>
      <w:r w:rsidR="00FD0A1A" w:rsidRPr="00AB3DAD">
        <w:t xml:space="preserve">s of </w:t>
      </w:r>
      <w:r w:rsidR="00C36F72" w:rsidRPr="00AB3DAD">
        <w:t>localized</w:t>
      </w:r>
      <w:r w:rsidR="00FD0A1A" w:rsidRPr="00AB3DAD">
        <w:t xml:space="preserve"> surface plasmon resonances </w:t>
      </w:r>
      <w:r w:rsidR="00E3046C" w:rsidRPr="00AB3DAD">
        <w:t xml:space="preserve">for a strong interaction with a target molecule for detection, resulting in </w:t>
      </w:r>
      <w:r w:rsidR="000C46EC" w:rsidRPr="00AB3DAD">
        <w:t>low limits of detection in TDM applications</w:t>
      </w:r>
      <w:r w:rsidR="00E20A4C" w:rsidRPr="00AB3DAD">
        <w:fldChar w:fldCharType="begin">
          <w:fldData xml:space="preserve">PEVuZE5vdGU+PENpdGU+PEF1dGhvcj5Hw7Zrc2VsPC9BdXRob3I+PFllYXI+MjAyMTwvWWVhcj48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</w:fldData>
        </w:fldChar>
      </w:r>
      <w:r w:rsidR="005055C6">
        <w:instrText xml:space="preserve"> ADDIN EN.CITE </w:instrText>
      </w:r>
      <w:r w:rsidR="005055C6">
        <w:fldChar w:fldCharType="begin">
          <w:fldData xml:space="preserve">PEVuZE5vdGU+PENpdGU+PEF1dGhvcj5Hw7Zrc2VsPC9BdXRob3I+PFllYXI+MjAyMTwvWWVhcj48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</w:fldData>
        </w:fldChar>
      </w:r>
      <w:r w:rsidR="005055C6">
        <w:instrText xml:space="preserve"> ADDIN EN.CITE.DATA </w:instrText>
      </w:r>
      <w:r w:rsidR="005055C6">
        <w:fldChar w:fldCharType="end"/>
      </w:r>
      <w:r w:rsidR="00E20A4C" w:rsidRPr="00AB3DAD">
        <w:fldChar w:fldCharType="separate"/>
      </w:r>
      <w:r w:rsidR="005055C6" w:rsidRPr="005055C6">
        <w:rPr>
          <w:noProof/>
          <w:vertAlign w:val="superscript"/>
        </w:rPr>
        <w:t>4-6</w:t>
      </w:r>
      <w:r w:rsidR="00E20A4C" w:rsidRPr="00AB3DAD">
        <w:fldChar w:fldCharType="end"/>
      </w:r>
      <w:r w:rsidR="00D77C57" w:rsidRPr="00AB3DAD">
        <w:t>.</w:t>
      </w:r>
      <w:r w:rsidR="00D961F2" w:rsidRPr="00AB3DAD">
        <w:t xml:space="preserve"> </w:t>
      </w:r>
      <w:r w:rsidR="003604DA" w:rsidRPr="00AB3DAD">
        <w:t>However, the</w:t>
      </w:r>
      <w:r w:rsidR="00D961F2" w:rsidRPr="00AB3DAD">
        <w:t xml:space="preserve"> </w:t>
      </w:r>
      <w:r w:rsidR="00AD05C6" w:rsidRPr="00AB3DAD">
        <w:t xml:space="preserve">reproducibility </w:t>
      </w:r>
      <w:r w:rsidR="003604DA" w:rsidRPr="00AB3DAD">
        <w:t xml:space="preserve">required for TDM </w:t>
      </w:r>
      <w:r w:rsidR="00AD05C6" w:rsidRPr="00AB3DAD">
        <w:t>is significantly impacted by</w:t>
      </w:r>
      <w:r w:rsidR="00D961F2" w:rsidRPr="00AB3DAD">
        <w:t xml:space="preserve"> </w:t>
      </w:r>
      <w:r w:rsidR="00A7116B" w:rsidRPr="00AB3DAD">
        <w:t xml:space="preserve">the need for the analyte to occupy a nanoscale </w:t>
      </w:r>
      <w:r w:rsidR="002C4A4A" w:rsidRPr="00AB3DAD">
        <w:t xml:space="preserve">plasmonic </w:t>
      </w:r>
      <w:r w:rsidR="003020C9" w:rsidRPr="00AB3DAD">
        <w:t xml:space="preserve">resonance </w:t>
      </w:r>
      <w:r w:rsidR="002C4A4A" w:rsidRPr="00AB3DAD">
        <w:t>amidst</w:t>
      </w:r>
      <w:r w:rsidR="00A7116B" w:rsidRPr="00AB3DAD">
        <w:t xml:space="preserve"> </w:t>
      </w:r>
      <w:r w:rsidR="00D961F2" w:rsidRPr="00AB3DAD">
        <w:t>the complexity of</w:t>
      </w:r>
      <w:r w:rsidR="002C4A4A" w:rsidRPr="00AB3DAD">
        <w:t xml:space="preserve"> a</w:t>
      </w:r>
      <w:r w:rsidR="00D961F2" w:rsidRPr="00AB3DAD">
        <w:t xml:space="preserve"> biological matri</w:t>
      </w:r>
      <w:r w:rsidR="002C4A4A" w:rsidRPr="00AB3DAD">
        <w:t>x</w:t>
      </w:r>
      <w:r w:rsidR="003D4659" w:rsidRPr="00AB3DAD">
        <w:fldChar w:fldCharType="begin"/>
      </w:r>
      <w:r w:rsidR="005055C6">
        <w:instrText xml:space="preserve"> ADDIN EN.CITE &lt;EndNote&gt;&lt;Cite&gt;&lt;Author&gt;Jaworska&lt;/Author&gt;&lt;Year&gt;2016&lt;/Year&gt;&lt;RecNum&gt;817&lt;/RecNum&gt;&lt;DisplayText&gt;&lt;style face="superscript"&gt;5&lt;/style&gt;&lt;/DisplayText&gt;&lt;record&gt;&lt;rec-number&gt;817&lt;/rec-number&gt;&lt;foreign-keys&gt;&lt;key app="EN" db-id="5e2s9zseqvvrtce0z055xzx4x0tfxapvz0tw" timestamp="1765981500" guid="3480b075-acb0-430e-9628-e81e94a4cf41"&gt;817&lt;/key&gt;&lt;/foreign-keys&gt;&lt;ref-type name="Electronic Article"&gt;43&lt;/ref-type&gt;&lt;contributors&gt;&lt;authors&gt;&lt;author&gt;Jaworska, Aleksandra&lt;/author&gt;&lt;author&gt;Fornasaro, Stefano&lt;/author&gt;&lt;author&gt;Sergo, Valter&lt;/author&gt;&lt;author&gt;Bonifacio, Alois&lt;/author&gt;&lt;/authors&gt;&lt;/contributors&gt;&lt;titles&gt;&lt;title&gt;Potential of Surface Enhanced Raman Spectroscopy (SERS) in Therapeutic Drug Monitoring (TDM). A Critical Review&lt;/title&gt;&lt;secondary-title&gt;Biosensors&lt;/secondary-title&gt;&lt;/titles&gt;&lt;periodical&gt;&lt;full-title&gt;Biosensors&lt;/full-title&gt;&lt;/periodical&gt;&lt;pages&gt;47&lt;/pages&gt;&lt;volume&gt;6&lt;/volume&gt;&lt;number&gt;3&lt;/number&gt;&lt;keywords&gt;&lt;keyword&gt;SERS&lt;/keyword&gt;&lt;keyword&gt;TDM&lt;/keyword&gt;&lt;keyword&gt;drug monitoring&lt;/keyword&gt;&lt;keyword&gt;Individualized cancer chemotherapy&lt;/keyword&gt;&lt;/keywords&gt;&lt;dates&gt;&lt;year&gt;2016&lt;/year&gt;&lt;/dates&gt;&lt;isbn&gt;2079-6374&lt;/isbn&gt;&lt;urls&gt;&lt;/urls&gt;&lt;electronic-resource-num&gt;10.3390/bios6030047&lt;/electronic-resource-num&gt;&lt;/record&gt;&lt;/Cite&gt;&lt;/EndNote&gt;</w:instrText>
      </w:r>
      <w:r w:rsidR="003D4659" w:rsidRPr="00AB3DAD">
        <w:fldChar w:fldCharType="separate"/>
      </w:r>
      <w:r w:rsidR="005055C6" w:rsidRPr="005055C6">
        <w:rPr>
          <w:noProof/>
          <w:vertAlign w:val="superscript"/>
        </w:rPr>
        <w:t>5</w:t>
      </w:r>
      <w:r w:rsidR="003D4659" w:rsidRPr="00AB3DAD">
        <w:fldChar w:fldCharType="end"/>
      </w:r>
      <w:r w:rsidR="002C4A4A" w:rsidRPr="00AB3DAD">
        <w:t>.</w:t>
      </w:r>
      <w:r w:rsidR="00C6028C" w:rsidRPr="00AB3DAD">
        <w:t xml:space="preserve"> Furthermore, </w:t>
      </w:r>
      <w:r w:rsidR="003020C9" w:rsidRPr="00AB3DAD">
        <w:t>this</w:t>
      </w:r>
      <w:r w:rsidR="00C6028C" w:rsidRPr="00AB3DAD">
        <w:t xml:space="preserve"> small overlap </w:t>
      </w:r>
      <w:r w:rsidR="003020C9" w:rsidRPr="00AB3DAD">
        <w:t xml:space="preserve">makes multiplexing </w:t>
      </w:r>
      <w:r w:rsidR="006D736F" w:rsidRPr="00AB3DAD">
        <w:t>difficult due to competitive adsorption of different drugs onto the sensor surface</w:t>
      </w:r>
      <w:r w:rsidR="00F165EA" w:rsidRPr="00AB3DAD">
        <w:fldChar w:fldCharType="begin"/>
      </w:r>
      <w:r w:rsidR="005055C6">
        <w:instrText xml:space="preserve"> ADDIN EN.CITE &lt;EndNote&gt;&lt;Cite&gt;&lt;Author&gt;Li&lt;/Author&gt;&lt;Year&gt;2020&lt;/Year&gt;&lt;RecNum&gt;815&lt;/RecNum&gt;&lt;DisplayText&gt;&lt;style face="superscript"&gt;6&lt;/style&gt;&lt;/DisplayText&gt;&lt;record&gt;&lt;rec-number&gt;815&lt;/rec-number&gt;&lt;foreign-keys&gt;&lt;key app="EN" db-id="5e2s9zseqvvrtce0z055xzx4x0tfxapvz0tw" timestamp="1765981486" guid="77fc98f8-4692-4d16-a7cb-4fc3d38808ac"&gt;815&lt;/key&gt;&lt;/foreign-keys&gt;&lt;ref-type name="Journal Article"&gt;17&lt;/ref-type&gt;&lt;contributors&gt;&lt;authors&gt;&lt;author&gt;Li, Chunchun&lt;/author&gt;&lt;author&gt;Ye, Ziwei&lt;/author&gt;&lt;author&gt;Xu, Yikai&lt;/author&gt;&lt;author&gt;Bell, Steven E. J.&lt;/author&gt;&lt;/authors&gt;&lt;/contributors&gt;&lt;titles&gt;&lt;title&gt;An overview of therapeutic anticancer drug monitoring based on surface enhanced (resonance) Raman spectroscopy (SE(R)RS)&lt;/title&gt;&lt;secondary-title&gt;Analyst&lt;/secondary-title&gt;&lt;/titles&gt;&lt;periodical&gt;&lt;full-title&gt;Analyst&lt;/full-title&gt;&lt;/periodical&gt;&lt;pages&gt;6211-6221&lt;/pages&gt;&lt;volume&gt;145&lt;/volume&gt;&lt;number&gt;19&lt;/number&gt;&lt;dates&gt;&lt;year&gt;2020&lt;/year&gt;&lt;/dates&gt;&lt;publisher&gt;The Royal Society of Chemistry&lt;/publisher&gt;&lt;isbn&gt;0003-2654&lt;/isbn&gt;&lt;work-type&gt;10.1039/D0AN00891E&lt;/work-type&gt;&lt;urls&gt;&lt;related-urls&gt;&lt;url&gt;http://dx.doi.org/10.1039/D0AN00891E&lt;/url&gt;&lt;/related-urls&gt;&lt;/urls&gt;&lt;electronic-resource-num&gt;10.1039/D0AN00891E&lt;/electronic-resource-num&gt;&lt;/record&gt;&lt;/Cite&gt;&lt;/EndNote&gt;</w:instrText>
      </w:r>
      <w:r w:rsidR="00F165EA" w:rsidRPr="00AB3DAD">
        <w:fldChar w:fldCharType="separate"/>
      </w:r>
      <w:r w:rsidR="005055C6" w:rsidRPr="005055C6">
        <w:rPr>
          <w:noProof/>
          <w:vertAlign w:val="superscript"/>
        </w:rPr>
        <w:t>6</w:t>
      </w:r>
      <w:r w:rsidR="00F165EA" w:rsidRPr="00AB3DAD">
        <w:fldChar w:fldCharType="end"/>
      </w:r>
      <w:r w:rsidR="001D24F6" w:rsidRPr="00AB3DAD">
        <w:t>.</w:t>
      </w:r>
    </w:p>
    <w:p w14:paraId="10A02FB7" w14:textId="2DADB9F7" w:rsidR="00D20343" w:rsidRPr="001309E5" w:rsidRDefault="00D20343" w:rsidP="00D20343">
      <w:pPr>
        <w:pStyle w:val="TAMainText"/>
      </w:pPr>
      <w:r w:rsidRPr="00812779">
        <w:t>Mid-IR absorption spectroscopy</w:t>
      </w:r>
      <w:r w:rsidR="00DC4600" w:rsidRPr="00812779">
        <w:t xml:space="preserve"> using evanescent waveguide sensors ha</w:t>
      </w:r>
      <w:r w:rsidR="00C83466">
        <w:t>s</w:t>
      </w:r>
      <w:r w:rsidR="00DC4600" w:rsidRPr="00812779">
        <w:t xml:space="preserve"> been investigated for applications </w:t>
      </w:r>
      <w:r w:rsidR="00F00D32" w:rsidRPr="00812779">
        <w:t xml:space="preserve">including </w:t>
      </w:r>
      <w:r w:rsidR="00BA35B4" w:rsidRPr="00812779">
        <w:t>protein sensing</w:t>
      </w:r>
      <w:r w:rsidR="00991011" w:rsidRPr="00812779">
        <w:fldChar w:fldCharType="begin">
          <w:fldData xml:space="preserve">PEVuZE5vdGU+PENpdGU+PEF1dGhvcj5NaXR0YWw8L0F1dGhvcj48WWVhcj4yMDIwPC9ZZWFyPjxS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</w:fldData>
        </w:fldChar>
      </w:r>
      <w:r w:rsidR="005055C6">
        <w:instrText xml:space="preserve"> ADDIN EN.CITE </w:instrText>
      </w:r>
      <w:r w:rsidR="005055C6">
        <w:fldChar w:fldCharType="begin">
          <w:fldData xml:space="preserve">PEVuZE5vdGU+PENpdGU+PEF1dGhvcj5NaXR0YWw8L0F1dGhvcj48WWVhcj4yMDIwPC9ZZWFyPjxS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</w:fldData>
        </w:fldChar>
      </w:r>
      <w:r w:rsidR="005055C6">
        <w:instrText xml:space="preserve"> ADDIN EN.CITE.DATA </w:instrText>
      </w:r>
      <w:r w:rsidR="005055C6">
        <w:fldChar w:fldCharType="end"/>
      </w:r>
      <w:r w:rsidR="00991011" w:rsidRPr="00812779">
        <w:fldChar w:fldCharType="separate"/>
      </w:r>
      <w:r w:rsidR="005055C6" w:rsidRPr="005055C6">
        <w:rPr>
          <w:noProof/>
          <w:vertAlign w:val="superscript"/>
        </w:rPr>
        <w:t>7, 8</w:t>
      </w:r>
      <w:r w:rsidR="00991011" w:rsidRPr="00812779">
        <w:fldChar w:fldCharType="end"/>
      </w:r>
      <w:r w:rsidR="00BA35B4" w:rsidRPr="00812779">
        <w:t xml:space="preserve">, which could find application in </w:t>
      </w:r>
      <w:r w:rsidR="00F00D32" w:rsidRPr="00812779">
        <w:t>cancer screening</w:t>
      </w:r>
      <w:r w:rsidR="00991011" w:rsidRPr="00812779">
        <w:fldChar w:fldCharType="begin"/>
      </w:r>
      <w:r w:rsidR="005055C6">
        <w:instrText xml:space="preserve"> ADDIN EN.CITE &lt;EndNote&gt;&lt;Cite&gt;&lt;Author&gt;Mitchell&lt;/Author&gt;&lt;Year&gt;2024&lt;/Year&gt;&lt;RecNum&gt;814&lt;/RecNum&gt;&lt;DisplayText&gt;&lt;style face="superscript"&gt;9&lt;/style&gt;&lt;/DisplayText&gt;&lt;record&gt;&lt;rec-number&gt;814&lt;/rec-number&gt;&lt;foreign-keys&gt;&lt;key app="EN" db-id="5e2s9zseqvvrtce0z055xzx4x0tfxapvz0tw" timestamp="1765979204" guid="403e7a2b-d94a-4314-a94e-133501493bb4"&gt;814&lt;/key&gt;&lt;/foreign-keys&gt;&lt;ref-type name="Journal Article"&gt;17&lt;/ref-type&gt;&lt;contributors&gt;&lt;authors&gt;&lt;author&gt;Mitchell, Colin J.&lt;/author&gt;&lt;author&gt;Hu, Tianhui&lt;/author&gt;&lt;author&gt;Sun, Shiyu&lt;/author&gt;&lt;author&gt;Stirling, Callum J.&lt;/author&gt;&lt;author&gt;Nedeljkovic, Milos&lt;/author&gt;&lt;author&gt;Peacock, Anna C.&lt;/author&gt;&lt;author&gt;Reed, Graham T.&lt;/author&gt;&lt;author&gt;Mashanovich, Goran Z.&lt;/author&gt;&lt;author&gt;Rowe, David J.&lt;/author&gt;&lt;/authors&gt;&lt;/contributors&gt;&lt;titles&gt;&lt;title&gt;Mid-infrared silicon photonics: From benchtop to real-world applications&lt;/title&gt;&lt;secondary-title&gt;APL Photonics&lt;/secondary-title&gt;&lt;/titles&gt;&lt;periodical&gt;&lt;full-title&gt;APL Photonics&lt;/full-title&gt;&lt;/periodical&gt;&lt;pages&gt;080901&lt;/pages&gt;&lt;volume&gt;9&lt;/volume&gt;&lt;number&gt;8&lt;/number&gt;&lt;dates&gt;&lt;year&gt;2024&lt;/year&gt;&lt;/dates&gt;&lt;isbn&gt;2378-0967&lt;/isbn&gt;&lt;urls&gt;&lt;related-urls&gt;&lt;url&gt;https://doi.org/10.1063/5.0222890&lt;/url&gt;&lt;/related-urls&gt;&lt;/urls&gt;&lt;electronic-resource-num&gt;10.1063/5.0222890&lt;/electronic-resource-num&gt;&lt;access-date&gt;12/17/2025&lt;/access-date&gt;&lt;/record&gt;&lt;/Cite&gt;&lt;/EndNote&gt;</w:instrText>
      </w:r>
      <w:r w:rsidR="00991011" w:rsidRPr="00812779">
        <w:fldChar w:fldCharType="separate"/>
      </w:r>
      <w:r w:rsidR="005055C6" w:rsidRPr="005055C6">
        <w:rPr>
          <w:noProof/>
          <w:vertAlign w:val="superscript"/>
        </w:rPr>
        <w:t>9</w:t>
      </w:r>
      <w:r w:rsidR="00991011" w:rsidRPr="00812779">
        <w:fldChar w:fldCharType="end"/>
      </w:r>
      <w:r w:rsidR="00787ACF" w:rsidRPr="00812779">
        <w:t>,</w:t>
      </w:r>
      <w:r w:rsidR="00411881" w:rsidRPr="00812779">
        <w:t xml:space="preserve"> </w:t>
      </w:r>
      <w:r w:rsidR="00F00D32" w:rsidRPr="00812779">
        <w:t xml:space="preserve">and </w:t>
      </w:r>
      <w:r w:rsidR="00A83DAA" w:rsidRPr="00812779">
        <w:t>illicit drug monitoring</w:t>
      </w:r>
      <w:r w:rsidR="00CA0DD5" w:rsidRPr="00812779">
        <w:fldChar w:fldCharType="begin"/>
      </w:r>
      <w:r w:rsidR="005055C6">
        <w:instrText xml:space="preserve"> ADDIN EN.CITE &lt;EndNote&gt;&lt;Cite&gt;&lt;Author&gt;Chang&lt;/Author&gt;&lt;Year&gt;2012&lt;/Year&gt;&lt;RecNum&gt;644&lt;/RecNum&gt;&lt;DisplayText&gt;&lt;style face="superscript"&gt;10&lt;/style&gt;&lt;/DisplayText&gt;&lt;record&gt;&lt;rec-number&gt;644&lt;/rec-number&gt;&lt;foreign-keys&gt;&lt;key app="EN" db-id="5e2s9zseqvvrtce0z055xzx4x0tfxapvz0tw" timestamp="1698940920" guid="a33e112e-ec5d-469c-b50b-2f38ddb3ba8f"&gt;644&lt;/key&gt;&lt;/foreign-keys&gt;&lt;ref-type name="Journal Article"&gt;17&lt;/ref-type&gt;&lt;contributors&gt;&lt;authors&gt;&lt;author&gt;Chang, Yu-Chi&lt;/author&gt;&lt;author&gt;Wägli, Philip&lt;/author&gt;&lt;author&gt;Paeder, Vincent&lt;/author&gt;&lt;author&gt;Homsy, Alexandra&lt;/author&gt;&lt;author&gt;Hvozdara, Lubos&lt;/author&gt;&lt;author&gt;van der Wal, Peter&lt;/author&gt;&lt;author&gt;Di Francesco, Joab&lt;/author&gt;&lt;author&gt;de Rooij, Nico F.&lt;/author&gt;&lt;author&gt;Peter Herzig, Hans&lt;/author&gt;&lt;/authors&gt;&lt;/contributors&gt;&lt;titles&gt;&lt;title&gt;Cocaine detection by a mid-infrared waveguide integrated with a microfluidic chip&lt;/title&gt;&lt;secondary-title&gt;Lab on a Chip&lt;/secondary-title&gt;&lt;/titles&gt;&lt;periodical&gt;&lt;full-title&gt;Lab on a Chip&lt;/full-title&gt;&lt;/periodical&gt;&lt;pages&gt;3020-3023&lt;/pages&gt;&lt;volume&gt;12&lt;/volume&gt;&lt;number&gt;17&lt;/number&gt;&lt;dates&gt;&lt;year&gt;2012&lt;/year&gt;&lt;/dates&gt;&lt;publisher&gt;The Royal Society of Chemistry&lt;/publisher&gt;&lt;isbn&gt;1473-0197&lt;/isbn&gt;&lt;work-type&gt;10.1039/C2LC40601B&lt;/work-type&gt;&lt;urls&gt;&lt;related-urls&gt;&lt;url&gt;http://dx.doi.org/10.1039/C2LC40601B&lt;/url&gt;&lt;/related-urls&gt;&lt;/urls&gt;&lt;electronic-resource-num&gt;10.1039/C2LC40601B&lt;/electronic-resource-num&gt;&lt;/record&gt;&lt;/Cite&gt;&lt;/EndNote&gt;</w:instrText>
      </w:r>
      <w:r w:rsidR="00CA0DD5" w:rsidRPr="00812779">
        <w:fldChar w:fldCharType="separate"/>
      </w:r>
      <w:r w:rsidR="005055C6" w:rsidRPr="005055C6">
        <w:rPr>
          <w:noProof/>
          <w:vertAlign w:val="superscript"/>
        </w:rPr>
        <w:t>10</w:t>
      </w:r>
      <w:r w:rsidR="00CA0DD5" w:rsidRPr="00812779">
        <w:fldChar w:fldCharType="end"/>
      </w:r>
      <w:r w:rsidRPr="00812779">
        <w:t>.</w:t>
      </w:r>
      <w:r w:rsidR="007F7AC8" w:rsidRPr="00812779">
        <w:t xml:space="preserve"> Cocaine </w:t>
      </w:r>
      <w:r w:rsidR="001F23A2" w:rsidRPr="00812779">
        <w:t xml:space="preserve">was </w:t>
      </w:r>
      <w:r w:rsidR="002C4847" w:rsidRPr="00812779">
        <w:t xml:space="preserve">added to saliva and detected </w:t>
      </w:r>
      <w:r w:rsidR="001F23A2" w:rsidRPr="00812779">
        <w:t>at 500 mg/L concentration using a</w:t>
      </w:r>
      <w:r w:rsidR="007F7AC8" w:rsidRPr="00812779">
        <w:t xml:space="preserve"> single-wavelength measurement </w:t>
      </w:r>
      <w:r w:rsidR="002C4847" w:rsidRPr="00812779">
        <w:t>(</w:t>
      </w:r>
      <w:r w:rsidR="007F7AC8" w:rsidRPr="00812779">
        <w:t>λ = 5.8 μm</w:t>
      </w:r>
      <w:r w:rsidR="002C4847" w:rsidRPr="00812779">
        <w:t>)</w:t>
      </w:r>
      <w:r w:rsidR="007F7AC8" w:rsidRPr="00812779">
        <w:t xml:space="preserve"> </w:t>
      </w:r>
      <w:r w:rsidR="00043BCC" w:rsidRPr="00812779">
        <w:t>with a</w:t>
      </w:r>
      <w:r w:rsidR="007F7AC8" w:rsidRPr="00812779">
        <w:t xml:space="preserve"> germanium-on-silicon (</w:t>
      </w:r>
      <w:proofErr w:type="spellStart"/>
      <w:r w:rsidR="007F7AC8" w:rsidRPr="00812779">
        <w:t>G</w:t>
      </w:r>
      <w:r w:rsidR="00043BCC" w:rsidRPr="00812779">
        <w:t>o</w:t>
      </w:r>
      <w:r w:rsidR="007F7AC8" w:rsidRPr="00812779">
        <w:t>S</w:t>
      </w:r>
      <w:proofErr w:type="spellEnd"/>
      <w:r w:rsidR="007F7AC8" w:rsidRPr="00812779">
        <w:t xml:space="preserve">) </w:t>
      </w:r>
      <w:r w:rsidR="00043BCC" w:rsidRPr="00812779">
        <w:t>waveguide</w:t>
      </w:r>
      <w:r w:rsidR="007F7AC8" w:rsidRPr="00812779">
        <w:t xml:space="preserve">. This </w:t>
      </w:r>
      <w:r w:rsidR="00A364B9" w:rsidRPr="00812779">
        <w:t xml:space="preserve">demonstrates that mid-IR photonics could be used for </w:t>
      </w:r>
      <w:r w:rsidR="007F7AC8" w:rsidRPr="00812779">
        <w:t>overdose detection in emergency medicine</w:t>
      </w:r>
      <w:r w:rsidR="00CA0DD5" w:rsidRPr="00812779">
        <w:fldChar w:fldCharType="begin"/>
      </w:r>
      <w:r w:rsidR="005055C6">
        <w:instrText xml:space="preserve"> ADDIN EN.CITE &lt;EndNote&gt;&lt;Cite&gt;&lt;Author&gt;Wägli&lt;/Author&gt;&lt;Year&gt;2013&lt;/Year&gt;&lt;RecNum&gt;128&lt;/RecNum&gt;&lt;DisplayText&gt;&lt;style face="superscript"&gt;11&lt;/style&gt;&lt;/DisplayText&gt;&lt;record&gt;&lt;rec-number&gt;128&lt;/rec-number&gt;&lt;foreign-keys&gt;&lt;key app="EN" db-id="5e2s9zseqvvrtce0z055xzx4x0tfxapvz0tw" timestamp="1660144644" guid="bc19131e-30d7-487a-a64d-7b705a54136b"&gt;128&lt;/key&gt;&lt;/foreign-keys&gt;&lt;ref-type name="Journal Article"&gt;17&lt;/ref-type&gt;&lt;contributors&gt;&lt;authors&gt;&lt;author&gt;Wägli, P.&lt;/author&gt;&lt;author&gt;Chang, Y. C.&lt;/author&gt;&lt;author&gt;Homsy, A.&lt;/author&gt;&lt;author&gt;Hvozdara, L.&lt;/author&gt;&lt;author&gt;Herzig, H. P.&lt;/author&gt;&lt;author&gt;De Rooij, N. F.&lt;/author&gt;&lt;/authors&gt;&lt;/contributors&gt;&lt;titles&gt;&lt;title&gt;Microfluidic droplet-based liquid-liquid extraction and on-chip IR spectroscopy detection of cocaine in human saliva&lt;/title&gt;&lt;secondary-title&gt;Analytical Chemistry&lt;/secondary-title&gt;&lt;/titles&gt;&lt;periodical&gt;&lt;full-title&gt;Analytical Chemistry&lt;/full-title&gt;&lt;/periodical&gt;&lt;pages&gt;7558-7565&lt;/pages&gt;&lt;volume&gt;85&lt;/volume&gt;&lt;number&gt;15&lt;/number&gt;&lt;dates&gt;&lt;year&gt;2013&lt;/year&gt;&lt;/dates&gt;&lt;work-type&gt;Article&lt;/work-type&gt;&lt;urls&gt;&lt;related-urls&gt;&lt;url&gt;https://www.scopus.com/inward/record.uri?eid=2-s2.0-84881353741&amp;amp;doi=10.1021%2fac401606p&amp;amp;partnerID=40&amp;amp;md5=7b93524d7dfe0941359741d08c216467&lt;/url&gt;&lt;/related-urls&gt;&lt;/urls&gt;&lt;electronic-resource-num&gt;10.1021/ac401606p&lt;/electronic-resource-num&gt;&lt;remote-database-name&gt;Scopus&lt;/remote-database-name&gt;&lt;/record&gt;&lt;/Cite&gt;&lt;/EndNote&gt;</w:instrText>
      </w:r>
      <w:r w:rsidR="00CA0DD5" w:rsidRPr="00812779">
        <w:fldChar w:fldCharType="separate"/>
      </w:r>
      <w:r w:rsidR="005055C6" w:rsidRPr="005055C6">
        <w:rPr>
          <w:noProof/>
          <w:vertAlign w:val="superscript"/>
        </w:rPr>
        <w:t>11</w:t>
      </w:r>
      <w:r w:rsidR="00CA0DD5" w:rsidRPr="00812779">
        <w:fldChar w:fldCharType="end"/>
      </w:r>
      <w:r w:rsidR="00E26403" w:rsidRPr="00812779">
        <w:t xml:space="preserve">, although the relevant </w:t>
      </w:r>
      <w:r w:rsidR="00E26403" w:rsidRPr="001309E5">
        <w:t>limits of detection are much higher than for TDM</w:t>
      </w:r>
      <w:r w:rsidR="007F7AC8" w:rsidRPr="001309E5">
        <w:t>.</w:t>
      </w:r>
    </w:p>
    <w:p w14:paraId="720DD5DB" w14:textId="7161A0E7" w:rsidR="0019178B" w:rsidRDefault="00701AC7" w:rsidP="001309E5">
      <w:pPr>
        <w:pStyle w:val="TAMainText"/>
      </w:pPr>
      <w:r w:rsidRPr="001309E5">
        <w:lastRenderedPageBreak/>
        <w:t xml:space="preserve">We have chosen to </w:t>
      </w:r>
      <w:r w:rsidR="00CC66AB" w:rsidRPr="001309E5">
        <w:t>implement</w:t>
      </w:r>
      <w:r w:rsidRPr="001309E5">
        <w:t xml:space="preserve"> </w:t>
      </w:r>
      <w:r w:rsidR="00CC66AB" w:rsidRPr="001309E5">
        <w:t xml:space="preserve">mid-IR spectroscopy for TDM using </w:t>
      </w:r>
      <w:r w:rsidR="0019178B" w:rsidRPr="001309E5">
        <w:t xml:space="preserve">integrated photonics </w:t>
      </w:r>
      <w:r w:rsidR="00CC66AB" w:rsidRPr="001309E5">
        <w:t>because</w:t>
      </w:r>
      <w:r w:rsidR="00E6501A" w:rsidRPr="001309E5">
        <w:t xml:space="preserve"> </w:t>
      </w:r>
      <w:r w:rsidR="00A14C82" w:rsidRPr="001309E5">
        <w:t xml:space="preserve">the platform </w:t>
      </w:r>
      <w:r w:rsidR="00573F6B" w:rsidRPr="001309E5">
        <w:t xml:space="preserve">enables the light-sample interaction to be tuned for appropriate sensitivity while using an interaction volume much larger than that of SERS, thereby avoiding the issues of poor reproducibility and difficult multiplexing. The platform </w:t>
      </w:r>
      <w:r w:rsidR="00A14C82" w:rsidRPr="001309E5">
        <w:t xml:space="preserve">is </w:t>
      </w:r>
      <w:r w:rsidR="00E6501A" w:rsidRPr="001309E5">
        <w:t xml:space="preserve">mass producible </w:t>
      </w:r>
      <w:r w:rsidR="00A14C82" w:rsidRPr="001309E5">
        <w:t>due to</w:t>
      </w:r>
      <w:r w:rsidR="00E6501A" w:rsidRPr="001309E5">
        <w:t xml:space="preserve"> the fabrication methods of the microelectronics industry</w:t>
      </w:r>
      <w:r w:rsidR="002B189B" w:rsidRPr="001309E5">
        <w:t xml:space="preserve">, </w:t>
      </w:r>
      <w:r w:rsidR="00E75AD3" w:rsidRPr="001309E5">
        <w:t>enabling single use transducers to be produced instead of requiring microwell</w:t>
      </w:r>
      <w:r w:rsidR="00F114EB" w:rsidRPr="001309E5">
        <w:t xml:space="preserve"> plate-based pipelines associated with immunoassays</w:t>
      </w:r>
      <w:r w:rsidR="001E5C9E" w:rsidRPr="001309E5">
        <w:t>.</w:t>
      </w:r>
      <w:r w:rsidR="00196000" w:rsidRPr="001309E5">
        <w:t xml:space="preserve"> Such </w:t>
      </w:r>
      <w:r w:rsidR="00C36F72" w:rsidRPr="001309E5">
        <w:t>miniaturized</w:t>
      </w:r>
      <w:r w:rsidR="00196000" w:rsidRPr="001309E5">
        <w:t xml:space="preserve"> sensors also avoi</w:t>
      </w:r>
      <w:r w:rsidR="007731D6" w:rsidRPr="001309E5">
        <w:t>d</w:t>
      </w:r>
      <w:r w:rsidR="00196000" w:rsidRPr="001309E5">
        <w:t xml:space="preserve"> the need for </w:t>
      </w:r>
      <w:r w:rsidR="00C36F72" w:rsidRPr="001309E5">
        <w:t>centralized</w:t>
      </w:r>
      <w:r w:rsidR="00196000" w:rsidRPr="001309E5">
        <w:t xml:space="preserve"> laboratory infrastructure </w:t>
      </w:r>
      <w:r w:rsidR="007731D6" w:rsidRPr="001309E5">
        <w:t>required for the large and expensive equipment required for LC-MS.</w:t>
      </w:r>
      <w:r w:rsidR="003C3045">
        <w:t xml:space="preserve"> </w:t>
      </w:r>
    </w:p>
    <w:p w14:paraId="47E2558D" w14:textId="7152962F" w:rsidR="00D20343" w:rsidRPr="00D20343" w:rsidRDefault="00D20343" w:rsidP="00D20343">
      <w:pPr>
        <w:pStyle w:val="TAMainText"/>
        <w:rPr>
          <w:highlight w:val="yellow"/>
        </w:rPr>
      </w:pPr>
      <w:r>
        <w:t>One potential issue with mid-IR spectroscopy of biological fluids is interferents from the biological matrix, in particular water and protein, both of which have broad and intense absorptions in the mid-IR region</w:t>
      </w:r>
      <w:r>
        <w:fldChar w:fldCharType="begin"/>
      </w:r>
      <w:r w:rsidR="005055C6">
        <w:instrText xml:space="preserve"> ADDIN EN.CITE &lt;EndNote&gt;&lt;Cite&gt;&lt;Author&gt;Rowe&lt;/Author&gt;&lt;Year&gt;2017&lt;/Year&gt;&lt;RecNum&gt;244&lt;/RecNum&gt;&lt;DisplayText&gt;&lt;style face="superscript"&gt;12&lt;/style&gt;&lt;/DisplayText&gt;&lt;record&gt;&lt;rec-number&gt;244&lt;/rec-number&gt;&lt;foreign-keys&gt;&lt;key app="EN" db-id="5e2s9zseqvvrtce0z055xzx4x0tfxapvz0tw" timestamp="1660144645" guid="565f6bf6-8b15-4270-bcbc-82fb89c60d0b"&gt;244&lt;/key&gt;&lt;/foreign-keys&gt;&lt;ref-type name="Journal Article"&gt;17&lt;/ref-type&gt;&lt;contributors&gt;&lt;authors&gt;&lt;author&gt;Rowe, David J.&lt;/author&gt;&lt;author&gt;Smith, David&lt;/author&gt;&lt;author&gt;Wilkinson, James S.&lt;/author&gt;&lt;/authors&gt;&lt;/contributors&gt;&lt;titles&gt;&lt;title&gt;Complex refractive index spectra of whole blood and aqueous solutions of anticoagulants, analgesics and buffers in the mid-infrared&lt;/title&gt;&lt;secondary-title&gt;Scientific Reports&lt;/secondary-title&gt;&lt;/titles&gt;&lt;periodical&gt;&lt;full-title&gt;Scientific Reports&lt;/full-title&gt;&lt;/periodical&gt;&lt;pages&gt;7356&lt;/pages&gt;&lt;volume&gt;7&lt;/volume&gt;&lt;dates&gt;&lt;year&gt;2017&lt;/year&gt;&lt;/dates&gt;&lt;urls&gt;&lt;/urls&gt;&lt;/record&gt;&lt;/Cite&gt;&lt;/EndNote&gt;</w:instrText>
      </w:r>
      <w:r>
        <w:fldChar w:fldCharType="separate"/>
      </w:r>
      <w:r w:rsidR="005055C6" w:rsidRPr="005055C6">
        <w:rPr>
          <w:noProof/>
          <w:vertAlign w:val="superscript"/>
        </w:rPr>
        <w:t>12</w:t>
      </w:r>
      <w:r>
        <w:fldChar w:fldCharType="end"/>
      </w:r>
      <w:r>
        <w:t>. In this work, we use a previously-reported extraction method for extracting hydrophobic drugs</w:t>
      </w:r>
      <w:r>
        <w:fldChar w:fldCharType="begin"/>
      </w:r>
      <w:r w:rsidR="005055C6">
        <w:instrText xml:space="preserve"> ADDIN EN.CITE &lt;EndNote&gt;&lt;Cite&gt;&lt;Author&gt;Dong&lt;/Author&gt;&lt;Year&gt;2024&lt;/Year&gt;&lt;RecNum&gt;819&lt;/RecNum&gt;&lt;DisplayText&gt;&lt;style face="superscript"&gt;13&lt;/style&gt;&lt;/DisplayText&gt;&lt;record&gt;&lt;rec-number&gt;819&lt;/rec-number&gt;&lt;foreign-keys&gt;&lt;key app="EN" db-id="fzva0ad2rzdftzers08v0dsmt5f0wsvfex5r" timestamp="1741192592"&gt;819&lt;/key&gt;&lt;/foreign-keys&gt;&lt;ref-type name="Journal Article"&gt;17&lt;/ref-type&gt;&lt;contributors&gt;&lt;authors&gt;&lt;author&gt;Dong, Pin&lt;/author&gt;&lt;author&gt;Li, Kezheng&lt;/author&gt;&lt;author&gt;Rowe, David J.&lt;/author&gt;&lt;author&gt;Krauss, Thomas F.&lt;/author&gt;&lt;author&gt;Wang, Yue&lt;/author&gt;&lt;/authors&gt;&lt;/contributors&gt;&lt;titles&gt;&lt;title&gt;Protocol for Therapeutic Drug Monitoring Within the Clinical Range Using Mid-infrared Spectroscopy&lt;/title&gt;&lt;secondary-title&gt;Analytical Chemistry&lt;/secondary-title&gt;&lt;/titles&gt;&lt;periodical&gt;&lt;full-title&gt;Analytical Chemistry&lt;/full-title&gt;&lt;/periodical&gt;&lt;pages&gt;19021-19028&lt;/pages&gt;&lt;volume&gt;96&lt;/volume&gt;&lt;number&gt;48&lt;/number&gt;&lt;dates&gt;&lt;year&gt;2024&lt;/year&gt;&lt;pub-dates&gt;&lt;date&gt;2024/12/03&lt;/date&gt;&lt;/pub-dates&gt;&lt;/dates&gt;&lt;publisher&gt;American Chemical Society&lt;/publisher&gt;&lt;isbn&gt;0003-2700&lt;/isbn&gt;&lt;urls&gt;&lt;related-urls&gt;&lt;url&gt;https://doi.org/10.1021/acs.analchem.4c03864&lt;/url&gt;&lt;/related-urls&gt;&lt;/urls&gt;&lt;electronic-resource-num&gt;10.1021/acs.analchem.4c03864&lt;/electronic-resource-num&gt;&lt;/record&gt;&lt;/Cite&gt;&lt;/EndNote&gt;</w:instrText>
      </w:r>
      <w:r>
        <w:fldChar w:fldCharType="separate"/>
      </w:r>
      <w:r w:rsidR="005055C6" w:rsidRPr="005055C6">
        <w:rPr>
          <w:noProof/>
          <w:vertAlign w:val="superscript"/>
        </w:rPr>
        <w:t>13</w:t>
      </w:r>
      <w:r>
        <w:fldChar w:fldCharType="end"/>
      </w:r>
      <w:r>
        <w:t>, which removes the water and protein content from the sample and isolates the analyte in a solvent with fewer interfering spectral features.</w:t>
      </w:r>
      <w:r w:rsidR="00ED6551">
        <w:t xml:space="preserve"> Although the extraction is performed in a laboratory</w:t>
      </w:r>
      <w:r w:rsidR="00811B35">
        <w:t xml:space="preserve">, </w:t>
      </w:r>
      <w:r w:rsidR="00D063B2">
        <w:t>work is underway to automate this workflow using a microfluidic platform.</w:t>
      </w:r>
    </w:p>
    <w:p w14:paraId="57931415" w14:textId="418F89AB" w:rsidR="0016042E" w:rsidRDefault="0016042E" w:rsidP="00524718">
      <w:pPr>
        <w:pStyle w:val="TAMainText"/>
      </w:pPr>
      <w:r>
        <w:t xml:space="preserve">TDM is helpful for doctors to maintain the concentration of drugs within a safe and effective treatment range that can be </w:t>
      </w:r>
      <w:r w:rsidR="00C36F72">
        <w:t>individualized</w:t>
      </w:r>
      <w:r>
        <w:t xml:space="preserve"> to each patient. Phenytoin is a good example as it has a narrow range between minimum effective concentration and toxic levels. Individual variability, because of age, genetics, organ function or other medications, can lead to significant shifts in serum concentrations. If the level is too low, seizures might not be controlled</w:t>
      </w:r>
      <w:r w:rsidR="000B087C">
        <w:t xml:space="preserve">; </w:t>
      </w:r>
      <w:r>
        <w:t xml:space="preserve">if too high, there is a significant risk of toxicity </w:t>
      </w:r>
      <w:r w:rsidR="021F45BF">
        <w:t>causing</w:t>
      </w:r>
      <w:r>
        <w:t xml:space="preserve"> neurological symptoms</w:t>
      </w:r>
      <w:r w:rsidR="0C6E5860">
        <w:t xml:space="preserve"> such as slurred speech and confusion</w:t>
      </w:r>
      <w:r>
        <w:t>, cardiac arr</w:t>
      </w:r>
      <w:r w:rsidR="00354E25">
        <w:t>h</w:t>
      </w:r>
      <w:r>
        <w:t>ythmia</w:t>
      </w:r>
      <w:r w:rsidR="4550BEB9">
        <w:t>s</w:t>
      </w:r>
      <w:r>
        <w:t xml:space="preserve"> and even death developing rapidly, especially in the elderly or critically ill</w:t>
      </w:r>
      <w:r>
        <w:fldChar w:fldCharType="begin"/>
      </w:r>
      <w:r w:rsidR="005055C6">
        <w:instrText xml:space="preserve"> ADDIN EN.CITE &lt;EndNote&gt;&lt;Cite&gt;&lt;Author&gt;Al-Roubaie&lt;/Author&gt;&lt;Year&gt;2020&lt;/Year&gt;&lt;RecNum&gt;838&lt;/RecNum&gt;&lt;DisplayText&gt;&lt;style face="superscript"&gt;14&lt;/style&gt;&lt;/DisplayText&gt;&lt;record&gt;&lt;rec-number&gt;838&lt;/rec-number&gt;&lt;foreign-keys&gt;&lt;key app="EN" db-id="fzva0ad2rzdftzers08v0dsmt5f0wsvfex5r" timestamp="1765377974"&gt;838&lt;/key&gt;&lt;/foreign-keys&gt;&lt;ref-type name="Journal Article"&gt;17&lt;/ref-type&gt;&lt;contributors&gt;&lt;authors&gt;&lt;author&gt;Al-Roubaie, Z.&lt;/author&gt;&lt;author&gt;Guadagno, E.&lt;/author&gt;&lt;author&gt;Ramanakumar, A. V.&lt;/author&gt;&lt;author&gt;Khan, A. Q.&lt;/author&gt;&lt;author&gt;Myers, K. A.&lt;/author&gt;&lt;/authors&gt;&lt;/contributors&gt;&lt;auth-address&gt;Department of Pharmacology (ZA-R), Faculty of Medicine, Université de Montréal; Research Institute of the McGill University Health Centre (ZA-R, AVR, AQK, KAM), Montréal; Medical Library (EG), McConnell Resource Centre, McGill University Health Centre, Montreal; and Departments of Pediatrics and Neurology &amp;amp; Neurosurgery (KAM), Montreal Children&amp;apos;s Hospital, McGill University Health Centre, Montreal, Quebec, Canada.&lt;/auth-address&gt;&lt;titles&gt;&lt;title&gt;Clinical utility of therapeutic drug monitoring of antiepileptic drugs: Systematic review&lt;/title&gt;&lt;secondary-title&gt;Neurology Clinical Practice&lt;/secondary-title&gt;&lt;/titles&gt;&lt;periodical&gt;&lt;full-title&gt;Neurology Clinical Practice&lt;/full-title&gt;&lt;/periodical&gt;&lt;pages&gt;344-355&lt;/pages&gt;&lt;volume&gt;10&lt;/volume&gt;&lt;number&gt;4&lt;/number&gt;&lt;dates&gt;&lt;year&gt;2020&lt;/year&gt;&lt;pub-dates&gt;&lt;date&gt;Aug&lt;/date&gt;&lt;/pub-dates&gt;&lt;/dates&gt;&lt;isbn&gt;2163-0402 (Print)&amp;#xD;2163-0402&lt;/isbn&gt;&lt;accession-num&gt;32983615&lt;/accession-num&gt;&lt;urls&gt;&lt;/urls&gt;&lt;electronic-resource-num&gt;10.1212/cpj.0000000000000722&lt;/electronic-resource-num&gt;&lt;remote-database-provider&gt;NLM&lt;/remote-database-provider&gt;&lt;language&gt;eng&lt;/language&gt;&lt;/record&gt;&lt;/Cite&gt;&lt;/EndNote&gt;</w:instrText>
      </w:r>
      <w:r>
        <w:fldChar w:fldCharType="separate"/>
      </w:r>
      <w:r w:rsidR="005055C6" w:rsidRPr="005055C6">
        <w:rPr>
          <w:noProof/>
          <w:vertAlign w:val="superscript"/>
        </w:rPr>
        <w:t>14</w:t>
      </w:r>
      <w:r>
        <w:fldChar w:fldCharType="end"/>
      </w:r>
      <w:r>
        <w:t xml:space="preserve">. </w:t>
      </w:r>
      <w:r>
        <w:lastRenderedPageBreak/>
        <w:t>TDM allows for early identification of ineffective or harmful drug levels before symptoms occur.</w:t>
      </w:r>
      <w:r w:rsidR="000C7300">
        <w:t xml:space="preserve"> The therapeutic window of phenytoin</w:t>
      </w:r>
      <w:r w:rsidRPr="449FB9CB">
        <w:rPr>
          <w:vertAlign w:val="superscript"/>
        </w:rPr>
        <w:fldChar w:fldCharType="begin"/>
      </w:r>
      <w:r w:rsidR="005055C6">
        <w:rPr>
          <w:vertAlign w:val="superscript"/>
        </w:rPr>
        <w:instrText xml:space="preserve"> ADDIN EN.CITE &lt;EndNote&gt;&lt;Cite&gt;&lt;Author&gt;Johannessen Landmark&lt;/Author&gt;&lt;Year&gt;2020&lt;/Year&gt;&lt;RecNum&gt;839&lt;/RecNum&gt;&lt;DisplayText&gt;&lt;style face="superscript"&gt;15&lt;/style&gt;&lt;/DisplayText&gt;&lt;record&gt;&lt;rec-number&gt;839&lt;/rec-number&gt;&lt;foreign-keys&gt;&lt;key app="EN" db-id="fzva0ad2rzdftzers08v0dsmt5f0wsvfex5r" timestamp="1765378695"&gt;839&lt;/key&gt;&lt;/foreign-keys&gt;&lt;ref-type name="Journal Article"&gt;17&lt;/ref-type&gt;&lt;contributors&gt;&lt;authors&gt;&lt;author&gt;Johannessen Landmark, Cecilie&lt;/author&gt;&lt;author&gt;Johannessen, Svein I.&lt;/author&gt;&lt;author&gt;Patsalos, Philip N.&lt;/author&gt;&lt;/authors&gt;&lt;/contributors&gt;&lt;titles&gt;&lt;title&gt;Therapeutic drug monitoring of antiepileptic drugs: current status and future prospects&lt;/title&gt;&lt;secondary-title&gt;Expert Opinion on Drug Metabolism &amp;amp; Toxicology&lt;/secondary-title&gt;&lt;/titles&gt;&lt;periodical&gt;&lt;full-title&gt;Expert Opinion on Drug Metabolism &amp;amp; Toxicology&lt;/full-title&gt;&lt;/periodical&gt;&lt;pages&gt;227-238&lt;/pages&gt;&lt;volume&gt;16&lt;/volume&gt;&lt;number&gt;3&lt;/number&gt;&lt;dates&gt;&lt;year&gt;2020&lt;/year&gt;&lt;pub-dates&gt;&lt;date&gt;2020/03/03&lt;/date&gt;&lt;/pub-dates&gt;&lt;/dates&gt;&lt;publisher&gt;Taylor &amp;amp; Francis&lt;/publisher&gt;&lt;isbn&gt;1742-5255&lt;/isbn&gt;&lt;urls&gt;&lt;related-urls&gt;&lt;url&gt;https://doi.org/10.1080/17425255.2020.1724956&lt;/url&gt;&lt;/related-urls&gt;&lt;/urls&gt;&lt;electronic-resource-num&gt;10.1080/17425255.2020.1724956&lt;/electronic-resource-num&gt;&lt;/record&gt;&lt;/Cite&gt;&lt;/EndNote&gt;</w:instrText>
      </w:r>
      <w:r w:rsidRPr="449FB9CB">
        <w:rPr>
          <w:vertAlign w:val="superscript"/>
        </w:rPr>
        <w:fldChar w:fldCharType="separate"/>
      </w:r>
      <w:r w:rsidR="005055C6">
        <w:rPr>
          <w:noProof/>
          <w:vertAlign w:val="superscript"/>
        </w:rPr>
        <w:t>15</w:t>
      </w:r>
      <w:r w:rsidRPr="449FB9CB">
        <w:rPr>
          <w:vertAlign w:val="superscript"/>
        </w:rPr>
        <w:fldChar w:fldCharType="end"/>
      </w:r>
      <w:r w:rsidR="00F075FC">
        <w:t xml:space="preserve"> is 10 – 20 mg/L</w:t>
      </w:r>
      <w:r w:rsidR="000C7300">
        <w:t>.</w:t>
      </w:r>
    </w:p>
    <w:p w14:paraId="6555F5DF" w14:textId="77777777" w:rsidR="00524718" w:rsidRPr="00524718" w:rsidRDefault="00524718" w:rsidP="00524718">
      <w:pPr>
        <w:pStyle w:val="TAMainText"/>
      </w:pPr>
    </w:p>
    <w:p w14:paraId="12A325EC" w14:textId="6FFB4B5D" w:rsidR="005E4C66" w:rsidRDefault="005769FE" w:rsidP="00D20343">
      <w:pPr>
        <w:pStyle w:val="VAFigureCaption"/>
        <w:spacing w:after="0"/>
        <w:jc w:val="left"/>
        <w:rPr>
          <w:highlight w:val="yellow"/>
        </w:rPr>
      </w:pPr>
      <w:r>
        <w:t>METHODS</w:t>
      </w:r>
      <w:r w:rsidR="00AB34C5">
        <w:t xml:space="preserve"> </w:t>
      </w:r>
      <w:r w:rsidR="005E4C66">
        <w:t>Rib waveguides were designe</w:t>
      </w:r>
      <w:r w:rsidR="00DB25F7">
        <w:t xml:space="preserve">d for the </w:t>
      </w:r>
      <w:proofErr w:type="spellStart"/>
      <w:r w:rsidR="00DB25F7">
        <w:t>GoS</w:t>
      </w:r>
      <w:proofErr w:type="spellEnd"/>
      <w:r w:rsidR="00DB25F7">
        <w:t xml:space="preserve"> material platform using simulations in</w:t>
      </w:r>
      <w:r w:rsidR="005E4C66" w:rsidRPr="005E4C66">
        <w:t xml:space="preserve"> </w:t>
      </w:r>
      <w:proofErr w:type="spellStart"/>
      <w:r w:rsidR="005E4C66" w:rsidRPr="005E4C66">
        <w:t>Lumerical</w:t>
      </w:r>
      <w:proofErr w:type="spellEnd"/>
      <w:r w:rsidR="005E4C66" w:rsidRPr="005E4C66">
        <w:t xml:space="preserve"> (Ansys, USA). </w:t>
      </w:r>
      <w:r w:rsidR="004D0A67">
        <w:t xml:space="preserve">A parameter sweep of the rib width was </w:t>
      </w:r>
      <w:r w:rsidR="0003496D">
        <w:t>used to design</w:t>
      </w:r>
      <w:r w:rsidR="00947C8B">
        <w:t xml:space="preserve"> the waveguide </w:t>
      </w:r>
      <w:r w:rsidR="0003496D">
        <w:t>for</w:t>
      </w:r>
      <w:r w:rsidR="006C77B6">
        <w:t xml:space="preserve"> single mode </w:t>
      </w:r>
      <w:r w:rsidR="0003496D">
        <w:t>operation</w:t>
      </w:r>
      <w:r w:rsidR="005E4C66" w:rsidRPr="005E4C66">
        <w:t xml:space="preserve"> </w:t>
      </w:r>
      <w:r w:rsidR="006C77B6">
        <w:t xml:space="preserve">across </w:t>
      </w:r>
      <w:r w:rsidR="005E4C66" w:rsidRPr="005E4C66">
        <w:t xml:space="preserve">the wavelength </w:t>
      </w:r>
      <w:r w:rsidR="006C77B6">
        <w:t>range</w:t>
      </w:r>
      <w:r w:rsidR="00852D9E">
        <w:t xml:space="preserve"> of the tunable laser source, </w:t>
      </w:r>
      <w:r w:rsidR="005E4C66" w:rsidRPr="005E4C66">
        <w:t xml:space="preserve">λ = 5.5 – 11 µm. </w:t>
      </w:r>
      <w:r w:rsidR="0003496D">
        <w:t>Because a range of rib widths satisfied this condition, t</w:t>
      </w:r>
      <w:r w:rsidR="005E4C66" w:rsidRPr="005E4C66">
        <w:t xml:space="preserve">he </w:t>
      </w:r>
      <w:commentRangeStart w:id="6"/>
      <w:r w:rsidR="005E4C66" w:rsidRPr="005E4C66">
        <w:t xml:space="preserve">maximum </w:t>
      </w:r>
      <w:r w:rsidR="00B76E66">
        <w:t xml:space="preserve">width of </w:t>
      </w:r>
      <w:r w:rsidR="005E4C66" w:rsidRPr="005E4C66">
        <w:t xml:space="preserve">3.0 µm </w:t>
      </w:r>
      <w:commentRangeEnd w:id="6"/>
      <w:r w:rsidR="0029661D" w:rsidRPr="005E4C66">
        <w:rPr>
          <w:rStyle w:val="CommentReference"/>
          <w:sz w:val="24"/>
          <w:szCs w:val="20"/>
        </w:rPr>
        <w:commentReference w:id="6"/>
      </w:r>
      <w:r w:rsidR="005E4C66" w:rsidRPr="005E4C66">
        <w:t xml:space="preserve">was used </w:t>
      </w:r>
      <w:r w:rsidR="004A5098">
        <w:t>to give the greatest</w:t>
      </w:r>
      <w:r w:rsidR="005E4C66" w:rsidRPr="005E4C66">
        <w:t xml:space="preserve"> modal confinement</w:t>
      </w:r>
      <w:r w:rsidR="004A5098">
        <w:t xml:space="preserve">, which would </w:t>
      </w:r>
      <w:r w:rsidR="005E4C66" w:rsidRPr="005E4C66">
        <w:t xml:space="preserve">reduce sidewall interaction and the </w:t>
      </w:r>
      <w:r w:rsidR="006957B9">
        <w:t xml:space="preserve">corresponding </w:t>
      </w:r>
      <w:r w:rsidR="005E4C66" w:rsidRPr="005E4C66">
        <w:t xml:space="preserve">propagation loss. </w:t>
      </w:r>
      <w:r w:rsidR="003506E7">
        <w:t xml:space="preserve">The waveguide height was 3.2 μm and the etch depth was 1.8 μm. </w:t>
      </w:r>
      <w:r w:rsidR="005E4C66" w:rsidRPr="005E4C66">
        <w:t xml:space="preserve">Tapered edge couplers </w:t>
      </w:r>
      <w:r w:rsidR="007E14DF">
        <w:t xml:space="preserve">and </w:t>
      </w:r>
      <w:r w:rsidR="004E0FD9">
        <w:t xml:space="preserve">waveguide bends </w:t>
      </w:r>
      <w:r w:rsidR="005E4C66" w:rsidRPr="005E4C66">
        <w:t xml:space="preserve">were </w:t>
      </w:r>
      <w:r w:rsidR="003A5DCD">
        <w:t xml:space="preserve">also simulated in </w:t>
      </w:r>
      <w:proofErr w:type="spellStart"/>
      <w:r w:rsidR="003A5DCD">
        <w:t>Lumerical</w:t>
      </w:r>
      <w:proofErr w:type="spellEnd"/>
      <w:r w:rsidR="003A5DCD">
        <w:t xml:space="preserve">. </w:t>
      </w:r>
      <w:r w:rsidR="004E0FD9">
        <w:t>The taper</w:t>
      </w:r>
      <w:r w:rsidR="003A5DCD">
        <w:t xml:space="preserve"> design was </w:t>
      </w:r>
      <w:r w:rsidR="00C36F72" w:rsidRPr="005E4C66">
        <w:t>optimized</w:t>
      </w:r>
      <w:r w:rsidR="005E4C66" w:rsidRPr="005E4C66">
        <w:t xml:space="preserve"> for minimal coupling loss, widening </w:t>
      </w:r>
      <w:r w:rsidR="00B87A4B">
        <w:t xml:space="preserve">from the waveguide width </w:t>
      </w:r>
      <w:r w:rsidR="005E4C66" w:rsidRPr="005E4C66">
        <w:t>to 16 µm at the facets</w:t>
      </w:r>
      <w:r w:rsidR="007E14DF">
        <w:t xml:space="preserve"> with a taper </w:t>
      </w:r>
      <w:r w:rsidR="005E4C66" w:rsidRPr="005E4C66">
        <w:t xml:space="preserve">length of 3 mm. </w:t>
      </w:r>
      <w:r w:rsidR="004E0FD9">
        <w:t xml:space="preserve">For waveguide bends, </w:t>
      </w:r>
      <w:r w:rsidR="00B2625F">
        <w:t xml:space="preserve">excess propagation loss </w:t>
      </w:r>
      <w:r w:rsidR="00E00BEE">
        <w:t>i</w:t>
      </w:r>
      <w:r w:rsidR="00B2625F">
        <w:t xml:space="preserve">s inversely proportional to </w:t>
      </w:r>
      <w:r w:rsidR="004E0FD9">
        <w:t xml:space="preserve">bend radius </w:t>
      </w:r>
      <w:r w:rsidR="001B3236">
        <w:t>so a</w:t>
      </w:r>
      <w:r w:rsidR="005E4C66" w:rsidRPr="005E4C66">
        <w:t xml:space="preserve"> minimum bend radius of 300 µm was </w:t>
      </w:r>
      <w:r w:rsidR="001B3236">
        <w:t>chosen</w:t>
      </w:r>
      <w:r w:rsidR="005E4C66" w:rsidRPr="005E4C66">
        <w:t xml:space="preserve"> as a compromise between</w:t>
      </w:r>
      <w:r w:rsidR="00FA4B84">
        <w:t xml:space="preserve"> the compactness of the circuit and</w:t>
      </w:r>
      <w:commentRangeStart w:id="7"/>
      <w:r w:rsidR="00FA4B84">
        <w:t xml:space="preserve"> a manageable </w:t>
      </w:r>
      <w:r w:rsidR="005E4C66" w:rsidRPr="005E4C66">
        <w:t>excess bend loss</w:t>
      </w:r>
      <w:commentRangeEnd w:id="7"/>
      <w:r w:rsidR="00053FDC">
        <w:rPr>
          <w:rStyle w:val="CommentReference"/>
          <w:sz w:val="24"/>
          <w:szCs w:val="20"/>
        </w:rPr>
        <w:commentReference w:id="7"/>
      </w:r>
      <w:r w:rsidR="00FA4B84">
        <w:t>.</w:t>
      </w:r>
      <w:r w:rsidR="0055787C">
        <w:t xml:space="preserve"> The simulated excess bend loss was </w:t>
      </w:r>
      <w:r w:rsidR="00491C9E">
        <w:t>0.1</w:t>
      </w:r>
      <w:r w:rsidR="0055787C">
        <w:t xml:space="preserve"> dB per 90</w:t>
      </w:r>
      <w:r w:rsidR="00B053AC">
        <w:sym w:font="Symbol" w:char="F0B0"/>
      </w:r>
      <w:r w:rsidR="0055787C">
        <w:t xml:space="preserve"> bend</w:t>
      </w:r>
      <w:r w:rsidR="00491C9E">
        <w:t xml:space="preserve"> for TM polarization and 0.54 dB per 90</w:t>
      </w:r>
      <w:r w:rsidR="00491C9E">
        <w:rPr>
          <w:rFonts w:ascii="Symbol" w:eastAsia="Symbol" w:hAnsi="Symbol" w:cs="Symbol"/>
        </w:rPr>
        <w:t>°</w:t>
      </w:r>
      <w:r w:rsidR="00491C9E">
        <w:t xml:space="preserve"> bend for T</w:t>
      </w:r>
      <w:r w:rsidR="008245B9">
        <w:t>E</w:t>
      </w:r>
      <w:r w:rsidR="00491C9E">
        <w:t xml:space="preserve"> </w:t>
      </w:r>
      <w:r w:rsidR="008245B9">
        <w:t>polarization</w:t>
      </w:r>
      <w:r w:rsidR="00491C9E">
        <w:t>.</w:t>
      </w:r>
      <w:r w:rsidR="008245B9">
        <w:t xml:space="preserve"> </w:t>
      </w:r>
    </w:p>
    <w:p w14:paraId="07A28521" w14:textId="0DDDAF00" w:rsidR="00944979" w:rsidRDefault="3C81727A" w:rsidP="009D7D32">
      <w:pPr>
        <w:pStyle w:val="TAMainText"/>
      </w:pPr>
      <w:commentRangeStart w:id="8"/>
      <w:r>
        <w:t>A 40 µm</w:t>
      </w:r>
      <w:r w:rsidR="4A27DD38">
        <w:t xml:space="preserve"> </w:t>
      </w:r>
      <w:r>
        <w:t>wide trench was etched into the germanium layer, matching the rib depth, to form the fluid‑confinement boundary. Each waveguide was created by etching two 20</w:t>
      </w:r>
      <w:r w:rsidR="4A27DD38">
        <w:t xml:space="preserve"> </w:t>
      </w:r>
      <w:r>
        <w:t>µm</w:t>
      </w:r>
      <w:r w:rsidR="4A27DD38">
        <w:t xml:space="preserve"> </w:t>
      </w:r>
      <w:r>
        <w:t xml:space="preserve">wide trenches alongside the rib and the confinement trench was routed so that it intersected these waveguide trenches at right angles. The </w:t>
      </w:r>
      <w:r w:rsidR="2D04FD15">
        <w:t>path of the confinement trench</w:t>
      </w:r>
      <w:r>
        <w:t xml:space="preserve"> followed an obround loop measuring 6.5 mm by 2.5 mm, providing a physical barrier that pin</w:t>
      </w:r>
      <w:r w:rsidR="74027B65">
        <w:t>ned</w:t>
      </w:r>
      <w:r>
        <w:t xml:space="preserve"> the droplet edge </w:t>
      </w:r>
      <w:r w:rsidR="000F6D7B">
        <w:t>to</w:t>
      </w:r>
      <w:r>
        <w:t xml:space="preserve"> prevent further spreading.</w:t>
      </w:r>
      <w:commentRangeEnd w:id="8"/>
      <w:r w:rsidR="0019693E">
        <w:rPr>
          <w:rStyle w:val="CommentReference"/>
        </w:rPr>
        <w:commentReference w:id="8"/>
      </w:r>
    </w:p>
    <w:p w14:paraId="4BE7B565" w14:textId="4325CCC9" w:rsidR="005E4C66" w:rsidRDefault="00944979" w:rsidP="009D7D32">
      <w:pPr>
        <w:pStyle w:val="TAMainText"/>
      </w:pPr>
      <w:r>
        <w:lastRenderedPageBreak/>
        <w:t xml:space="preserve">The photonic circuit was designed so that waveguides of various lengths traversed this confinement zone, enabling different optical interaction lengths while keeping the total device length constant. This ensured that propagation and coupling losses remained identical for all channels. A schematic diagram of the layout is </w:t>
      </w:r>
      <w:r w:rsidR="006702DD">
        <w:t>shown</w:t>
      </w:r>
      <w:r>
        <w:t xml:space="preserve"> in</w:t>
      </w:r>
      <w:r w:rsidR="00657FA9">
        <w:t xml:space="preserve"> </w:t>
      </w:r>
      <w:r w:rsidR="00E41135">
        <w:fldChar w:fldCharType="begin"/>
      </w:r>
      <w:r w:rsidR="00E41135">
        <w:instrText xml:space="preserve"> REF _Ref216789929 \h </w:instrText>
      </w:r>
      <w:r w:rsidR="009D7D32">
        <w:instrText xml:space="preserve"> \* MERGEFORMAT </w:instrText>
      </w:r>
      <w:r w:rsidR="00E41135">
        <w:fldChar w:fldCharType="separate"/>
      </w:r>
      <w:r w:rsidR="00575B3D">
        <w:t xml:space="preserve">Figure </w:t>
      </w:r>
      <w:r w:rsidR="00575B3D">
        <w:rPr>
          <w:noProof/>
        </w:rPr>
        <w:t>1</w:t>
      </w:r>
      <w:r w:rsidR="00E41135">
        <w:fldChar w:fldCharType="end"/>
      </w:r>
      <w:r>
        <w:t>.</w:t>
      </w:r>
    </w:p>
    <w:p w14:paraId="1C6B75F6" w14:textId="61991B48" w:rsidR="006C2244" w:rsidRDefault="006C2244" w:rsidP="00F0757E">
      <w:pPr>
        <w:jc w:val="center"/>
        <w:rPr>
          <w:highlight w:val="yellow"/>
        </w:rPr>
      </w:pPr>
      <w:r>
        <w:rPr>
          <w:noProof/>
        </w:rPr>
        <w:drawing>
          <wp:inline distT="0" distB="0" distL="0" distR="0" wp14:anchorId="49B88CD8" wp14:editId="5B2E0A47">
            <wp:extent cx="4468984" cy="1775012"/>
            <wp:effectExtent l="0" t="0" r="1905" b="3175"/>
            <wp:docPr id="474619302" name="Picture 6" descr="A close-up of a graphic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619302" name="Picture 6" descr="A close-up of a graphic desig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50238" cy="1847003"/>
                    </a:xfrm>
                    <a:prstGeom prst="rect">
                      <a:avLst/>
                    </a:prstGeom>
                  </pic:spPr>
                </pic:pic>
              </a:graphicData>
            </a:graphic>
          </wp:inline>
        </w:drawing>
      </w:r>
    </w:p>
    <w:p w14:paraId="45A190BC" w14:textId="63EEF55F" w:rsidR="006C2244" w:rsidRDefault="003C3045" w:rsidP="00DA2EBE">
      <w:pPr>
        <w:pStyle w:val="VAFigureCaption"/>
      </w:pPr>
      <w:bookmarkStart w:id="9" w:name="_Ref216789929"/>
      <w:r>
        <w:t xml:space="preserve">Figure </w:t>
      </w:r>
      <w:r>
        <w:fldChar w:fldCharType="begin"/>
      </w:r>
      <w:r>
        <w:instrText>SEQ Figure \* ARABIC</w:instrText>
      </w:r>
      <w:r>
        <w:fldChar w:fldCharType="separate"/>
      </w:r>
      <w:r w:rsidR="00F40665">
        <w:rPr>
          <w:noProof/>
        </w:rPr>
        <w:t>1</w:t>
      </w:r>
      <w:r>
        <w:fldChar w:fldCharType="end"/>
      </w:r>
      <w:bookmarkEnd w:id="9"/>
      <w:r w:rsidR="009B2BF1">
        <w:t>: s</w:t>
      </w:r>
      <w:r w:rsidR="006C2244">
        <w:t xml:space="preserve">chematic of the photonic integrated circuit showing how the confinement trench extends perpendicularly from the </w:t>
      </w:r>
      <w:r w:rsidR="009459CB">
        <w:t xml:space="preserve">waveguide trenches, which are etched either side of the rib waveguide core. </w:t>
      </w:r>
      <w:commentRangeStart w:id="10"/>
      <w:r w:rsidR="009459CB">
        <w:t>The waveguide ribs and confinement trenches are etched by 1.</w:t>
      </w:r>
      <w:r w:rsidR="003E6CAA">
        <w:t>8</w:t>
      </w:r>
      <w:r w:rsidR="009459CB">
        <w:t xml:space="preserve"> </w:t>
      </w:r>
      <w:r w:rsidR="00D20343" w:rsidRPr="62197E4B">
        <w:rPr>
          <w:rFonts w:ascii="Symbol" w:eastAsia="Symbol" w:hAnsi="Symbol" w:cs="Symbol"/>
        </w:rPr>
        <w:t>m</w:t>
      </w:r>
      <w:r w:rsidR="009459CB">
        <w:t xml:space="preserve">m. </w:t>
      </w:r>
      <w:commentRangeEnd w:id="10"/>
      <w:r>
        <w:rPr>
          <w:rStyle w:val="CommentReference"/>
          <w:sz w:val="24"/>
          <w:szCs w:val="20"/>
        </w:rPr>
        <w:commentReference w:id="10"/>
      </w:r>
    </w:p>
    <w:p w14:paraId="36CE400D" w14:textId="30CC5840" w:rsidR="009D7D32" w:rsidRDefault="009D7D32" w:rsidP="009D7D32">
      <w:pPr>
        <w:pStyle w:val="TAMainText"/>
      </w:pPr>
      <w:commentRangeStart w:id="11"/>
      <w:r w:rsidRPr="009D7D32">
        <w:t xml:space="preserve">Devices were </w:t>
      </w:r>
      <w:commentRangeStart w:id="12"/>
      <w:r w:rsidRPr="009D7D32">
        <w:t>fabricated</w:t>
      </w:r>
      <w:r w:rsidR="00B50F22">
        <w:t xml:space="preserve"> </w:t>
      </w:r>
      <w:commentRangeEnd w:id="12"/>
      <w:r w:rsidR="007C0436">
        <w:rPr>
          <w:rStyle w:val="CommentReference"/>
          <w:sz w:val="24"/>
          <w:szCs w:val="20"/>
        </w:rPr>
        <w:commentReference w:id="12"/>
      </w:r>
      <w:r w:rsidR="00B50F22">
        <w:t xml:space="preserve">using </w:t>
      </w:r>
      <w:r w:rsidR="00A11556">
        <w:t xml:space="preserve">200 mm </w:t>
      </w:r>
      <w:proofErr w:type="spellStart"/>
      <w:r w:rsidR="00A11556">
        <w:t>GoS</w:t>
      </w:r>
      <w:proofErr w:type="spellEnd"/>
      <w:r w:rsidR="00A11556">
        <w:t xml:space="preserve"> wafers</w:t>
      </w:r>
      <w:r w:rsidR="00945B32">
        <w:t xml:space="preserve"> </w:t>
      </w:r>
      <w:commentRangeEnd w:id="11"/>
      <w:r w:rsidR="0019693E">
        <w:rPr>
          <w:rStyle w:val="CommentReference"/>
        </w:rPr>
        <w:commentReference w:id="11"/>
      </w:r>
      <w:r w:rsidR="00853AD3">
        <w:t xml:space="preserve">as part of a </w:t>
      </w:r>
      <w:r w:rsidR="00945B32">
        <w:t>CORNERSTONE</w:t>
      </w:r>
      <w:r w:rsidR="00853AD3">
        <w:t xml:space="preserve"> multi-project wafer fabrication run at the University of Southampton</w:t>
      </w:r>
      <w:r w:rsidR="00A11556">
        <w:t>.</w:t>
      </w:r>
      <w:r w:rsidR="0061526B">
        <w:t xml:space="preserve"> Features were patterned using deep UV lithography and etched using </w:t>
      </w:r>
      <w:r w:rsidR="00840F8E">
        <w:t xml:space="preserve">inductively coupled plasma-reactive ion etching. </w:t>
      </w:r>
      <w:r w:rsidR="006F12B9">
        <w:t xml:space="preserve">The etched wafers were diced into chips using ductile dicing, which </w:t>
      </w:r>
      <w:r w:rsidR="00534940">
        <w:t>yielded</w:t>
      </w:r>
      <w:r w:rsidR="006A0AF4">
        <w:t xml:space="preserve"> facets of sufficient flatness to enable end-fire coupling into the </w:t>
      </w:r>
      <w:r w:rsidR="00534940">
        <w:t>tapered couplers.</w:t>
      </w:r>
    </w:p>
    <w:p w14:paraId="4B399559" w14:textId="17DC9EE6" w:rsidR="008725BD" w:rsidRDefault="006F3891" w:rsidP="62197E4B">
      <w:pPr>
        <w:pStyle w:val="TAMainText"/>
        <w:rPr>
          <w:highlight w:val="yellow"/>
          <w:lang w:val="en-GB" w:eastAsia="en-GB"/>
        </w:rPr>
      </w:pPr>
      <w:r>
        <w:rPr>
          <w:lang w:val="en-GB" w:eastAsia="en-GB"/>
        </w:rPr>
        <w:t xml:space="preserve">A schematic of the measurement setup used to </w:t>
      </w:r>
      <w:r w:rsidR="00041373">
        <w:rPr>
          <w:lang w:val="en-GB" w:eastAsia="en-GB"/>
        </w:rPr>
        <w:t xml:space="preserve">perform absorption spectroscopy is shown in </w:t>
      </w:r>
      <w:r w:rsidR="00B33DA3">
        <w:rPr>
          <w:lang w:val="en-GB" w:eastAsia="en-GB"/>
        </w:rPr>
        <w:fldChar w:fldCharType="begin"/>
      </w:r>
      <w:r w:rsidR="00B33DA3">
        <w:rPr>
          <w:lang w:val="en-GB" w:eastAsia="en-GB"/>
        </w:rPr>
        <w:instrText xml:space="preserve"> REF _Ref220573989 \h </w:instrText>
      </w:r>
      <w:r w:rsidR="00B33DA3">
        <w:rPr>
          <w:lang w:val="en-GB" w:eastAsia="en-GB"/>
        </w:rPr>
      </w:r>
      <w:r w:rsidR="00B33DA3">
        <w:rPr>
          <w:lang w:val="en-GB" w:eastAsia="en-GB"/>
        </w:rPr>
        <w:fldChar w:fldCharType="separate"/>
      </w:r>
      <w:r w:rsidR="00575B3D" w:rsidRPr="00476984">
        <w:t xml:space="preserve">Figure </w:t>
      </w:r>
      <w:r w:rsidR="00575B3D">
        <w:rPr>
          <w:noProof/>
        </w:rPr>
        <w:t>2</w:t>
      </w:r>
      <w:r w:rsidR="00B33DA3">
        <w:rPr>
          <w:lang w:val="en-GB" w:eastAsia="en-GB"/>
        </w:rPr>
        <w:fldChar w:fldCharType="end"/>
      </w:r>
      <w:r w:rsidR="00041373">
        <w:rPr>
          <w:lang w:val="en-GB" w:eastAsia="en-GB"/>
        </w:rPr>
        <w:t xml:space="preserve">. </w:t>
      </w:r>
      <w:commentRangeStart w:id="13"/>
      <w:r w:rsidR="00684F39" w:rsidRPr="62197E4B">
        <w:rPr>
          <w:lang w:val="en-GB" w:eastAsia="en-GB"/>
        </w:rPr>
        <w:t xml:space="preserve">Absorption measurements </w:t>
      </w:r>
      <w:commentRangeEnd w:id="13"/>
      <w:r w:rsidR="00684F39" w:rsidRPr="62197E4B">
        <w:rPr>
          <w:rStyle w:val="CommentReference"/>
          <w:sz w:val="24"/>
          <w:szCs w:val="20"/>
          <w:lang w:val="en-GB" w:eastAsia="en-GB"/>
        </w:rPr>
        <w:commentReference w:id="13"/>
      </w:r>
      <w:r w:rsidR="00684F39" w:rsidRPr="62197E4B">
        <w:rPr>
          <w:lang w:val="en-GB" w:eastAsia="en-GB"/>
        </w:rPr>
        <w:t xml:space="preserve">were </w:t>
      </w:r>
      <w:r w:rsidR="00524718" w:rsidRPr="62197E4B">
        <w:rPr>
          <w:lang w:val="en-GB" w:eastAsia="en-GB"/>
        </w:rPr>
        <w:t>performed</w:t>
      </w:r>
      <w:r w:rsidR="00684F39" w:rsidRPr="62197E4B">
        <w:rPr>
          <w:lang w:val="en-GB" w:eastAsia="en-GB"/>
        </w:rPr>
        <w:t xml:space="preserve"> with a </w:t>
      </w:r>
      <w:proofErr w:type="spellStart"/>
      <w:r w:rsidR="00684F39" w:rsidRPr="62197E4B">
        <w:rPr>
          <w:lang w:val="en-GB" w:eastAsia="en-GB"/>
        </w:rPr>
        <w:t>MIRcat</w:t>
      </w:r>
      <w:proofErr w:type="spellEnd"/>
      <w:r w:rsidR="00684F39" w:rsidRPr="62197E4B">
        <w:rPr>
          <w:lang w:val="en-GB" w:eastAsia="en-GB"/>
        </w:rPr>
        <w:t xml:space="preserve"> tunable quantum</w:t>
      </w:r>
      <w:r w:rsidR="00D57AF4" w:rsidRPr="62197E4B">
        <w:rPr>
          <w:lang w:val="en-GB" w:eastAsia="en-GB"/>
        </w:rPr>
        <w:t xml:space="preserve"> </w:t>
      </w:r>
      <w:r w:rsidR="00684F39" w:rsidRPr="62197E4B">
        <w:rPr>
          <w:lang w:val="en-GB" w:eastAsia="en-GB"/>
        </w:rPr>
        <w:t xml:space="preserve">cascade laser (Daylight Solutions, USA), operating </w:t>
      </w:r>
      <w:r w:rsidR="00C74DD5">
        <w:rPr>
          <w:lang w:val="en-GB" w:eastAsia="en-GB"/>
        </w:rPr>
        <w:t xml:space="preserve">in continuous-wave mode </w:t>
      </w:r>
      <w:r w:rsidR="00684F39" w:rsidRPr="62197E4B">
        <w:rPr>
          <w:lang w:val="en-GB" w:eastAsia="en-GB"/>
        </w:rPr>
        <w:t xml:space="preserve">across the </w:t>
      </w:r>
      <w:r w:rsidR="00C74DD5">
        <w:rPr>
          <w:lang w:val="en-GB" w:eastAsia="en-GB"/>
        </w:rPr>
        <w:t xml:space="preserve">wavelength range </w:t>
      </w:r>
      <w:r w:rsidR="00684F39" w:rsidRPr="62197E4B">
        <w:rPr>
          <w:lang w:val="en-GB" w:eastAsia="en-GB"/>
        </w:rPr>
        <w:t>5.</w:t>
      </w:r>
      <w:r w:rsidR="00124FB5">
        <w:rPr>
          <w:lang w:val="en-GB" w:eastAsia="en-GB"/>
        </w:rPr>
        <w:t>6</w:t>
      </w:r>
      <w:r w:rsidR="00E208AE" w:rsidRPr="62197E4B">
        <w:rPr>
          <w:lang w:val="en-GB" w:eastAsia="en-GB"/>
        </w:rPr>
        <w:t xml:space="preserve"> </w:t>
      </w:r>
      <w:r w:rsidR="00684F39" w:rsidRPr="62197E4B">
        <w:rPr>
          <w:lang w:val="en-GB" w:eastAsia="en-GB"/>
        </w:rPr>
        <w:t>–</w:t>
      </w:r>
      <w:r w:rsidR="00E208AE" w:rsidRPr="62197E4B">
        <w:rPr>
          <w:lang w:val="en-GB" w:eastAsia="en-GB"/>
        </w:rPr>
        <w:t xml:space="preserve"> </w:t>
      </w:r>
      <w:r w:rsidR="00684F39" w:rsidRPr="62197E4B">
        <w:rPr>
          <w:lang w:val="en-GB" w:eastAsia="en-GB"/>
        </w:rPr>
        <w:t>6.0 µm.</w:t>
      </w:r>
      <w:r w:rsidR="00383494" w:rsidRPr="62197E4B">
        <w:rPr>
          <w:lang w:val="en-GB" w:eastAsia="en-GB"/>
        </w:rPr>
        <w:t xml:space="preserve"> This range was selected to be wide enough to cover the phenytoin absorption peaks of interest</w:t>
      </w:r>
      <w:r w:rsidR="00684F39" w:rsidRPr="62197E4B">
        <w:rPr>
          <w:lang w:val="en-GB" w:eastAsia="en-GB"/>
        </w:rPr>
        <w:fldChar w:fldCharType="begin"/>
      </w:r>
      <w:r w:rsidR="005055C6">
        <w:rPr>
          <w:lang w:val="en-GB" w:eastAsia="en-GB"/>
        </w:rPr>
        <w:instrText xml:space="preserve"> ADDIN EN.CITE &lt;EndNote&gt;&lt;Cite&gt;&lt;Author&gt;Dong&lt;/Author&gt;&lt;Year&gt;2024&lt;/Year&gt;&lt;RecNum&gt;819&lt;/RecNum&gt;&lt;DisplayText&gt;&lt;style face="superscript"&gt;13&lt;/style&gt;&lt;/DisplayText&gt;&lt;record&gt;&lt;rec-number&gt;819&lt;/rec-number&gt;&lt;foreign-keys&gt;&lt;key app="EN" db-id="fzva0ad2rzdftzers08v0dsmt5f0wsvfex5r" timestamp="1741192592"&gt;819&lt;/key&gt;&lt;/foreign-keys&gt;&lt;ref-type name="Journal Article"&gt;17&lt;/ref-type&gt;&lt;contributors&gt;&lt;authors&gt;&lt;author&gt;Dong, Pin&lt;/author&gt;&lt;author&gt;Li, Kezheng&lt;/author&gt;&lt;author&gt;Rowe, David J.&lt;/author&gt;&lt;author&gt;Krauss, Thomas F.&lt;/author&gt;&lt;author&gt;Wang, Yue&lt;/author&gt;&lt;/authors&gt;&lt;/contributors&gt;&lt;titles&gt;&lt;title&gt;Protocol for Therapeutic Drug Monitoring Within the Clinical Range Using Mid-infrared Spectroscopy&lt;/title&gt;&lt;secondary-title&gt;Analytical Chemistry&lt;/secondary-title&gt;&lt;/titles&gt;&lt;periodical&gt;&lt;full-title&gt;Analytical Chemistry&lt;/full-title&gt;&lt;/periodical&gt;&lt;pages&gt;19021-19028&lt;/pages&gt;&lt;volume&gt;96&lt;/volume&gt;&lt;number&gt;48&lt;/number&gt;&lt;dates&gt;&lt;year&gt;2024&lt;/year&gt;&lt;pub-dates&gt;&lt;date&gt;2024/12/03&lt;/date&gt;&lt;/pub-dates&gt;&lt;/dates&gt;&lt;publisher&gt;American Chemical Society&lt;/publisher&gt;&lt;isbn&gt;0003-2700&lt;/isbn&gt;&lt;urls&gt;&lt;related-urls&gt;&lt;url&gt;https://doi.org/10.1021/acs.analchem.4c03864&lt;/url&gt;&lt;/related-urls&gt;&lt;/urls&gt;&lt;electronic-resource-num&gt;10.1021/acs.analchem.4c03864&lt;/electronic-resource-num&gt;&lt;/record&gt;&lt;/Cite&gt;&lt;/EndNote&gt;</w:instrText>
      </w:r>
      <w:r w:rsidR="00684F39" w:rsidRPr="62197E4B">
        <w:rPr>
          <w:lang w:val="en-GB" w:eastAsia="en-GB"/>
        </w:rPr>
        <w:fldChar w:fldCharType="separate"/>
      </w:r>
      <w:r w:rsidR="005055C6" w:rsidRPr="005055C6">
        <w:rPr>
          <w:noProof/>
          <w:vertAlign w:val="superscript"/>
          <w:lang w:val="en-GB" w:eastAsia="en-GB"/>
        </w:rPr>
        <w:t>13</w:t>
      </w:r>
      <w:r w:rsidR="00684F39" w:rsidRPr="62197E4B">
        <w:rPr>
          <w:lang w:val="en-GB" w:eastAsia="en-GB"/>
        </w:rPr>
        <w:fldChar w:fldCharType="end"/>
      </w:r>
      <w:r w:rsidR="00383494" w:rsidRPr="62197E4B">
        <w:rPr>
          <w:lang w:val="en-GB" w:eastAsia="en-GB"/>
        </w:rPr>
        <w:t xml:space="preserve"> </w:t>
      </w:r>
      <w:r w:rsidR="00881516" w:rsidRPr="00B607CB">
        <w:t xml:space="preserve">while including narrow zero-absorption regions on either side to enable reliable baseline correction. At the same time, the scan range </w:t>
      </w:r>
      <w:r w:rsidR="00EF6A6B">
        <w:t>wa</w:t>
      </w:r>
      <w:r w:rsidR="00881516" w:rsidRPr="00B607CB">
        <w:t xml:space="preserve">s sufficiently narrow to allow rapid wavelength </w:t>
      </w:r>
      <w:r w:rsidR="00881516" w:rsidRPr="00B607CB">
        <w:lastRenderedPageBreak/>
        <w:t>sweeping of the laser source</w:t>
      </w:r>
      <w:r w:rsidR="00881516" w:rsidRPr="00D30D64">
        <w:t>.</w:t>
      </w:r>
      <w:r w:rsidR="00881516">
        <w:t xml:space="preserve"> The average output power of the </w:t>
      </w:r>
      <w:r w:rsidR="00B53C4D">
        <w:t xml:space="preserve">laser </w:t>
      </w:r>
      <w:r w:rsidR="00EF6A6B">
        <w:t>wa</w:t>
      </w:r>
      <w:r w:rsidR="00881516">
        <w:t>s around 450mW (Class 3R), which pose</w:t>
      </w:r>
      <w:r w:rsidR="00EF6A6B">
        <w:t>d</w:t>
      </w:r>
      <w:r w:rsidR="00881516">
        <w:t xml:space="preserve"> a </w:t>
      </w:r>
      <w:r w:rsidR="00881516" w:rsidRPr="00631960">
        <w:t>potential</w:t>
      </w:r>
      <w:r w:rsidR="00881516">
        <w:t xml:space="preserve"> risk of</w:t>
      </w:r>
      <w:r w:rsidR="00881516" w:rsidRPr="00631960">
        <w:t xml:space="preserve"> damag</w:t>
      </w:r>
      <w:r w:rsidR="00881516">
        <w:t>ing</w:t>
      </w:r>
      <w:r w:rsidR="00881516" w:rsidRPr="00631960">
        <w:t xml:space="preserve"> both the detector and the</w:t>
      </w:r>
      <w:r w:rsidR="00D719E8">
        <w:t xml:space="preserve"> FLIR Boson</w:t>
      </w:r>
      <w:r w:rsidR="00881516" w:rsidRPr="00631960">
        <w:t xml:space="preserve"> mid-IR camera</w:t>
      </w:r>
      <w:r w:rsidR="00D719E8">
        <w:t xml:space="preserve"> (FLIR, USA)</w:t>
      </w:r>
      <w:r w:rsidR="00881516">
        <w:t xml:space="preserve">. To mitigate this, wedged neutral density (ND) filters were placed after the laser to attenuate the optical power. The wedged geometry further helped suppress unwanted back-reflections within the optical system. </w:t>
      </w:r>
    </w:p>
    <w:p w14:paraId="3F0A6BEA" w14:textId="066A12DF" w:rsidR="003D53F8" w:rsidRPr="003D53F8" w:rsidRDefault="003D53F8" w:rsidP="003D53F8">
      <w:pPr>
        <w:pStyle w:val="TAMainText"/>
        <w:rPr>
          <w:lang w:val="en-GB" w:eastAsia="en-GB"/>
        </w:rPr>
      </w:pPr>
      <w:r w:rsidRPr="003D53F8">
        <w:rPr>
          <w:lang w:val="en-GB" w:eastAsia="en-GB"/>
        </w:rPr>
        <w:t>Since the rib waveguides were designed to operate under T</w:t>
      </w:r>
      <w:r w:rsidR="00865964">
        <w:rPr>
          <w:lang w:val="en-GB" w:eastAsia="en-GB"/>
        </w:rPr>
        <w:t>M</w:t>
      </w:r>
      <w:r w:rsidRPr="003D53F8">
        <w:rPr>
          <w:lang w:val="en-GB" w:eastAsia="en-GB"/>
        </w:rPr>
        <w:t xml:space="preserve"> polari</w:t>
      </w:r>
      <w:r w:rsidR="00E44B99">
        <w:rPr>
          <w:lang w:val="en-GB" w:eastAsia="en-GB"/>
        </w:rPr>
        <w:t>z</w:t>
      </w:r>
      <w:r w:rsidRPr="003D53F8">
        <w:rPr>
          <w:lang w:val="en-GB" w:eastAsia="en-GB"/>
        </w:rPr>
        <w:t>ation</w:t>
      </w:r>
      <w:r w:rsidR="00865964">
        <w:rPr>
          <w:lang w:val="en-GB" w:eastAsia="en-GB"/>
        </w:rPr>
        <w:t xml:space="preserve"> for high surface interaction</w:t>
      </w:r>
      <w:r w:rsidRPr="003D53F8">
        <w:rPr>
          <w:lang w:val="en-GB" w:eastAsia="en-GB"/>
        </w:rPr>
        <w:t>, a linear polari</w:t>
      </w:r>
      <w:r w:rsidR="00E44B99">
        <w:rPr>
          <w:lang w:val="en-GB" w:eastAsia="en-GB"/>
        </w:rPr>
        <w:t>z</w:t>
      </w:r>
      <w:r w:rsidRPr="003D53F8">
        <w:rPr>
          <w:lang w:val="en-GB" w:eastAsia="en-GB"/>
        </w:rPr>
        <w:t>er was placed after the ND filters to ensure high polari</w:t>
      </w:r>
      <w:r w:rsidR="00E44B99">
        <w:rPr>
          <w:lang w:val="en-GB" w:eastAsia="en-GB"/>
        </w:rPr>
        <w:t>z</w:t>
      </w:r>
      <w:r w:rsidRPr="003D53F8">
        <w:rPr>
          <w:lang w:val="en-GB" w:eastAsia="en-GB"/>
        </w:rPr>
        <w:t xml:space="preserve">ation purity of the incident beam. The beam was then focused onto the waveguide input taper using a reflective </w:t>
      </w:r>
      <w:commentRangeStart w:id="15"/>
      <w:r w:rsidRPr="003D53F8">
        <w:rPr>
          <w:lang w:val="en-GB" w:eastAsia="en-GB"/>
        </w:rPr>
        <w:t>objective</w:t>
      </w:r>
      <w:commentRangeEnd w:id="15"/>
      <w:r w:rsidR="0019693E">
        <w:rPr>
          <w:rStyle w:val="CommentReference"/>
        </w:rPr>
        <w:commentReference w:id="15"/>
      </w:r>
      <w:r w:rsidRPr="003D53F8">
        <w:rPr>
          <w:lang w:val="en-GB" w:eastAsia="en-GB"/>
        </w:rPr>
        <w:t xml:space="preserve"> </w:t>
      </w:r>
      <w:r w:rsidR="00233AE2">
        <w:rPr>
          <w:lang w:val="en-GB" w:eastAsia="en-GB"/>
        </w:rPr>
        <w:t xml:space="preserve">lens </w:t>
      </w:r>
      <w:r w:rsidRPr="003D53F8">
        <w:rPr>
          <w:lang w:val="en-GB" w:eastAsia="en-GB"/>
        </w:rPr>
        <w:t xml:space="preserve">with 40× magnification and a numerical aperture (NA) of 0.5, providing a tightly focused spot and improved coupling efficiency into the waveguide. At the output side of the waveguide, a second reflective objective </w:t>
      </w:r>
      <w:r w:rsidR="00233AE2">
        <w:rPr>
          <w:lang w:val="en-GB" w:eastAsia="en-GB"/>
        </w:rPr>
        <w:t xml:space="preserve">lens </w:t>
      </w:r>
      <w:r w:rsidRPr="003D53F8">
        <w:rPr>
          <w:lang w:val="en-GB" w:eastAsia="en-GB"/>
        </w:rPr>
        <w:t xml:space="preserve">was used to collect the transmitted light and direct it to </w:t>
      </w:r>
      <w:r w:rsidR="00D719E8">
        <w:rPr>
          <w:lang w:val="en-GB" w:eastAsia="en-GB"/>
        </w:rPr>
        <w:t>the</w:t>
      </w:r>
      <w:r w:rsidRPr="003D53F8">
        <w:rPr>
          <w:lang w:val="en-GB" w:eastAsia="en-GB"/>
        </w:rPr>
        <w:t xml:space="preserve"> mid-IR camera. The image from the mid-IR camera allows verification that the QCL laser excites the intended guided mode of the rib waveguide rather than undesired slab modes. Once correct mode excitation and alignment were confirmed, the transmitted beam was redirected to a HgCdTe photodetector</w:t>
      </w:r>
      <w:r w:rsidR="00752DC5">
        <w:rPr>
          <w:lang w:val="en-GB" w:eastAsia="en-GB"/>
        </w:rPr>
        <w:t xml:space="preserve"> (VIGO Photonics, Poland)</w:t>
      </w:r>
      <w:r w:rsidRPr="003D53F8">
        <w:rPr>
          <w:lang w:val="en-GB" w:eastAsia="en-GB"/>
        </w:rPr>
        <w:t xml:space="preserve"> via a foldable mirror, which exhibits a typical detectivity </w:t>
      </w:r>
      <w:commentRangeStart w:id="16"/>
      <w:r w:rsidRPr="003D53F8">
        <w:rPr>
          <w:lang w:val="en-GB" w:eastAsia="en-GB"/>
        </w:rPr>
        <w:t>D* of ~4.0 × 10⁹ cm·Hz¹</w:t>
      </w:r>
      <w:r w:rsidRPr="003D53F8">
        <w:rPr>
          <w:rFonts w:ascii="Gadugi" w:hAnsi="Gadugi" w:cs="Gadugi"/>
          <w:lang w:val="en-GB" w:eastAsia="en-GB"/>
        </w:rPr>
        <w:t>ᐟ</w:t>
      </w:r>
      <w:r w:rsidRPr="003D53F8">
        <w:rPr>
          <w:rFonts w:cs="Times"/>
          <w:lang w:val="en-GB" w:eastAsia="en-GB"/>
        </w:rPr>
        <w:t>²</w:t>
      </w:r>
      <w:r w:rsidRPr="003D53F8">
        <w:rPr>
          <w:lang w:val="en-GB" w:eastAsia="en-GB"/>
        </w:rPr>
        <w:t>/W</w:t>
      </w:r>
      <w:commentRangeEnd w:id="16"/>
      <w:r w:rsidR="00416107">
        <w:rPr>
          <w:rStyle w:val="CommentReference"/>
        </w:rPr>
        <w:commentReference w:id="16"/>
      </w:r>
      <w:r w:rsidRPr="003D53F8">
        <w:rPr>
          <w:lang w:val="en-GB" w:eastAsia="en-GB"/>
        </w:rPr>
        <w:t xml:space="preserve"> at its peak response, and the optical alignment was further optimi</w:t>
      </w:r>
      <w:r w:rsidR="00C227A4">
        <w:rPr>
          <w:lang w:val="en-GB" w:eastAsia="en-GB"/>
        </w:rPr>
        <w:t>z</w:t>
      </w:r>
      <w:r w:rsidRPr="003D53F8">
        <w:rPr>
          <w:lang w:val="en-GB" w:eastAsia="en-GB"/>
        </w:rPr>
        <w:t>ed to maximi</w:t>
      </w:r>
      <w:r w:rsidR="001A424A">
        <w:rPr>
          <w:lang w:val="en-GB" w:eastAsia="en-GB"/>
        </w:rPr>
        <w:t>z</w:t>
      </w:r>
      <w:r w:rsidRPr="003D53F8">
        <w:rPr>
          <w:lang w:val="en-GB" w:eastAsia="en-GB"/>
        </w:rPr>
        <w:t xml:space="preserve">e the detected power for spectral measurements. </w:t>
      </w:r>
    </w:p>
    <w:p w14:paraId="0DDAC162" w14:textId="1A86AC25" w:rsidR="003D53F8" w:rsidRPr="003D53F8" w:rsidRDefault="008E7BF5" w:rsidP="003D53F8">
      <w:pPr>
        <w:pStyle w:val="TAMainText"/>
        <w:rPr>
          <w:lang w:val="en-GB" w:eastAsia="en-GB"/>
        </w:rPr>
      </w:pPr>
      <w:r>
        <w:rPr>
          <w:lang w:val="en-GB" w:eastAsia="en-GB"/>
        </w:rPr>
        <w:t>A</w:t>
      </w:r>
      <w:r w:rsidR="003D53F8" w:rsidRPr="003D53F8">
        <w:rPr>
          <w:lang w:val="en-GB" w:eastAsia="en-GB"/>
        </w:rPr>
        <w:t xml:space="preserve">ll optical components were arranged </w:t>
      </w:r>
      <w:proofErr w:type="gramStart"/>
      <w:r w:rsidR="003D53F8" w:rsidRPr="003D53F8">
        <w:rPr>
          <w:lang w:val="en-GB" w:eastAsia="en-GB"/>
        </w:rPr>
        <w:t>in close proximity</w:t>
      </w:r>
      <w:r w:rsidR="00FC36EB">
        <w:rPr>
          <w:lang w:val="en-GB" w:eastAsia="en-GB"/>
        </w:rPr>
        <w:t xml:space="preserve"> to</w:t>
      </w:r>
      <w:proofErr w:type="gramEnd"/>
      <w:r w:rsidR="00FC36EB">
        <w:rPr>
          <w:lang w:val="en-GB" w:eastAsia="en-GB"/>
        </w:rPr>
        <w:t xml:space="preserve"> avoid </w:t>
      </w:r>
      <w:r w:rsidR="003D53F8" w:rsidRPr="003D53F8">
        <w:rPr>
          <w:lang w:val="en-GB" w:eastAsia="en-GB"/>
        </w:rPr>
        <w:t xml:space="preserve">unnecessary beam propagation in air </w:t>
      </w:r>
      <w:r w:rsidR="00FC36EB">
        <w:rPr>
          <w:lang w:val="en-GB" w:eastAsia="en-GB"/>
        </w:rPr>
        <w:t>and so</w:t>
      </w:r>
      <w:r w:rsidR="003D53F8" w:rsidRPr="003D53F8">
        <w:rPr>
          <w:lang w:val="en-GB" w:eastAsia="en-GB"/>
        </w:rPr>
        <w:t xml:space="preserve"> </w:t>
      </w:r>
      <w:r w:rsidR="00FC36EB">
        <w:rPr>
          <w:lang w:val="en-GB" w:eastAsia="en-GB"/>
        </w:rPr>
        <w:t>minimize</w:t>
      </w:r>
      <w:r w:rsidR="003D53F8" w:rsidRPr="003D53F8">
        <w:rPr>
          <w:lang w:val="en-GB" w:eastAsia="en-GB"/>
        </w:rPr>
        <w:t xml:space="preserve"> the interaction length with environmental water vapour. This approach suppresse</w:t>
      </w:r>
      <w:r w:rsidR="00FC36EB">
        <w:rPr>
          <w:lang w:val="en-GB" w:eastAsia="en-GB"/>
        </w:rPr>
        <w:t>d</w:t>
      </w:r>
      <w:r w:rsidR="003D53F8" w:rsidRPr="003D53F8">
        <w:rPr>
          <w:lang w:val="en-GB" w:eastAsia="en-GB"/>
        </w:rPr>
        <w:t xml:space="preserve"> background absorption features </w:t>
      </w:r>
      <w:r w:rsidR="005D309E">
        <w:rPr>
          <w:lang w:val="en-GB" w:eastAsia="en-GB"/>
        </w:rPr>
        <w:t>to ensure</w:t>
      </w:r>
      <w:r w:rsidR="003D53F8" w:rsidRPr="003D53F8">
        <w:rPr>
          <w:lang w:val="en-GB" w:eastAsia="en-GB"/>
        </w:rPr>
        <w:t xml:space="preserve"> that the measured </w:t>
      </w:r>
      <w:r w:rsidR="005D309E">
        <w:rPr>
          <w:lang w:val="en-GB" w:eastAsia="en-GB"/>
        </w:rPr>
        <w:t>spectrum</w:t>
      </w:r>
      <w:r w:rsidR="003D53F8" w:rsidRPr="003D53F8">
        <w:rPr>
          <w:lang w:val="en-GB" w:eastAsia="en-GB"/>
        </w:rPr>
        <w:t xml:space="preserve"> </w:t>
      </w:r>
      <w:r w:rsidR="00501AA5">
        <w:rPr>
          <w:lang w:val="en-GB" w:eastAsia="en-GB"/>
        </w:rPr>
        <w:t>wa</w:t>
      </w:r>
      <w:r w:rsidR="003D53F8" w:rsidRPr="003D53F8">
        <w:rPr>
          <w:lang w:val="en-GB" w:eastAsia="en-GB"/>
        </w:rPr>
        <w:t>s dominated by the waveguide-analyte interaction rather than environmental contributions.</w:t>
      </w:r>
      <w:r w:rsidR="00A3148F">
        <w:rPr>
          <w:lang w:val="en-GB" w:eastAsia="en-GB"/>
        </w:rPr>
        <w:t xml:space="preserve"> The total free space </w:t>
      </w:r>
      <w:r w:rsidR="00F93FB9">
        <w:rPr>
          <w:lang w:val="en-GB" w:eastAsia="en-GB"/>
        </w:rPr>
        <w:t xml:space="preserve">pathlength was approximately </w:t>
      </w:r>
      <w:commentRangeStart w:id="17"/>
      <w:r w:rsidR="00F93FB9">
        <w:rPr>
          <w:lang w:val="en-GB" w:eastAsia="en-GB"/>
        </w:rPr>
        <w:t>120 cm</w:t>
      </w:r>
      <w:commentRangeEnd w:id="17"/>
      <w:r w:rsidR="00416107">
        <w:rPr>
          <w:rStyle w:val="CommentReference"/>
        </w:rPr>
        <w:commentReference w:id="17"/>
      </w:r>
      <w:r w:rsidR="00F93FB9">
        <w:rPr>
          <w:lang w:val="en-GB" w:eastAsia="en-GB"/>
        </w:rPr>
        <w:t>.</w:t>
      </w:r>
    </w:p>
    <w:p w14:paraId="482D9135" w14:textId="30FC3482" w:rsidR="0057334E" w:rsidRDefault="003D53F8" w:rsidP="003D53F8">
      <w:pPr>
        <w:pStyle w:val="TAMainText"/>
        <w:rPr>
          <w:highlight w:val="yellow"/>
          <w:lang w:val="en-GB" w:eastAsia="en-GB"/>
        </w:rPr>
      </w:pPr>
      <w:r w:rsidRPr="003D53F8">
        <w:rPr>
          <w:lang w:val="en-GB" w:eastAsia="en-GB"/>
        </w:rPr>
        <w:lastRenderedPageBreak/>
        <w:t>For the spectral measurements, after the optimi</w:t>
      </w:r>
      <w:r w:rsidR="001A424A">
        <w:rPr>
          <w:lang w:val="en-GB" w:eastAsia="en-GB"/>
        </w:rPr>
        <w:t>z</w:t>
      </w:r>
      <w:r w:rsidRPr="003D53F8">
        <w:rPr>
          <w:lang w:val="en-GB" w:eastAsia="en-GB"/>
        </w:rPr>
        <w:t>ed alignment was found,</w:t>
      </w:r>
      <w:r w:rsidR="00380CE5">
        <w:rPr>
          <w:lang w:val="en-GB" w:eastAsia="en-GB"/>
        </w:rPr>
        <w:t xml:space="preserve"> the</w:t>
      </w:r>
      <w:r w:rsidRPr="003D53F8">
        <w:rPr>
          <w:lang w:val="en-GB" w:eastAsia="en-GB"/>
        </w:rPr>
        <w:t xml:space="preserve"> </w:t>
      </w:r>
      <w:r w:rsidR="00B53C4D">
        <w:rPr>
          <w:lang w:val="en-GB" w:eastAsia="en-GB"/>
        </w:rPr>
        <w:t>laser</w:t>
      </w:r>
      <w:commentRangeStart w:id="18"/>
      <w:r w:rsidRPr="003D53F8">
        <w:rPr>
          <w:lang w:val="en-GB" w:eastAsia="en-GB"/>
        </w:rPr>
        <w:t xml:space="preserve"> </w:t>
      </w:r>
      <w:commentRangeEnd w:id="18"/>
      <w:r w:rsidR="00416107">
        <w:rPr>
          <w:rStyle w:val="CommentReference"/>
        </w:rPr>
        <w:commentReference w:id="18"/>
      </w:r>
      <w:r w:rsidRPr="003D53F8">
        <w:rPr>
          <w:lang w:val="en-GB" w:eastAsia="en-GB"/>
        </w:rPr>
        <w:t xml:space="preserve">was </w:t>
      </w:r>
      <w:r w:rsidR="00996840">
        <w:rPr>
          <w:lang w:val="en-GB" w:eastAsia="en-GB"/>
        </w:rPr>
        <w:t>swept</w:t>
      </w:r>
      <w:r w:rsidRPr="003D53F8">
        <w:rPr>
          <w:lang w:val="en-GB" w:eastAsia="en-GB"/>
        </w:rPr>
        <w:t xml:space="preserve"> linearly across the 5.</w:t>
      </w:r>
      <w:r w:rsidR="00124FB5">
        <w:rPr>
          <w:lang w:val="en-GB" w:eastAsia="en-GB"/>
        </w:rPr>
        <w:t>6</w:t>
      </w:r>
      <w:r w:rsidRPr="003D53F8">
        <w:rPr>
          <w:lang w:val="en-GB" w:eastAsia="en-GB"/>
        </w:rPr>
        <w:t xml:space="preserve"> – 6</w:t>
      </w:r>
      <w:r w:rsidR="00996840">
        <w:rPr>
          <w:lang w:val="en-GB" w:eastAsia="en-GB"/>
        </w:rPr>
        <w:t>.0</w:t>
      </w:r>
      <w:r w:rsidRPr="003D53F8">
        <w:rPr>
          <w:lang w:val="en-GB" w:eastAsia="en-GB"/>
        </w:rPr>
        <w:t xml:space="preserve"> µm </w:t>
      </w:r>
      <w:r w:rsidR="00996840">
        <w:rPr>
          <w:lang w:val="en-GB" w:eastAsia="en-GB"/>
        </w:rPr>
        <w:t xml:space="preserve">wavelength </w:t>
      </w:r>
      <w:r w:rsidRPr="003D53F8">
        <w:rPr>
          <w:lang w:val="en-GB" w:eastAsia="en-GB"/>
        </w:rPr>
        <w:t xml:space="preserve">range at a constant scan rate of 0.1 µm s⁻¹, resulting in a deterministic mapping between time and wavelength. Under this condition, the recorded detector signal represents a time-domain encoding of the optical absorption spectrum. To suppress high-frequency noise arising from electronic fluctuations and residual interference fringes while preserving the intrinsic absorption line shape, each individual wavelength scan was processed with a low-pass filter (LPF) procedure. The filter cut-off frequency was selected based on the narrowest absorption features of interest in this spectral region (on the order of </w:t>
      </w:r>
      <w:r w:rsidR="003923A1">
        <w:rPr>
          <w:lang w:val="en-GB" w:eastAsia="en-GB"/>
        </w:rPr>
        <w:t>5 nm</w:t>
      </w:r>
      <w:r w:rsidRPr="003D53F8">
        <w:rPr>
          <w:lang w:val="en-GB" w:eastAsia="en-GB"/>
        </w:rPr>
        <w:t>), corresponding to a characteristic temporal frequency of approximately 20</w:t>
      </w:r>
      <w:r w:rsidR="003923A1">
        <w:rPr>
          <w:lang w:val="en-GB" w:eastAsia="en-GB"/>
        </w:rPr>
        <w:t xml:space="preserve"> </w:t>
      </w:r>
      <w:r w:rsidRPr="003D53F8">
        <w:rPr>
          <w:lang w:val="en-GB" w:eastAsia="en-GB"/>
        </w:rPr>
        <w:t>Hz at the applied scan rate. Accordingly, a cut-off frequency of 40</w:t>
      </w:r>
      <w:r w:rsidR="00530012">
        <w:rPr>
          <w:lang w:val="en-GB" w:eastAsia="en-GB"/>
        </w:rPr>
        <w:t xml:space="preserve"> </w:t>
      </w:r>
      <w:r w:rsidRPr="003D53F8">
        <w:rPr>
          <w:lang w:val="en-GB" w:eastAsia="en-GB"/>
        </w:rPr>
        <w:t xml:space="preserve">Hz was chosen to ensure full preservation of the absorption profile while reducing the high frequency noise. Filtering was implemented using a fifth-order Butterworth filter with zero-phase forward-backward processing to avoid phase distortion or artificial broadening of absorption features. </w:t>
      </w:r>
      <w:r w:rsidR="004A6FD7">
        <w:rPr>
          <w:lang w:val="en-GB" w:eastAsia="en-GB"/>
        </w:rPr>
        <w:t>T</w:t>
      </w:r>
      <w:r w:rsidRPr="003D53F8">
        <w:rPr>
          <w:lang w:val="en-GB" w:eastAsia="en-GB"/>
        </w:rPr>
        <w:t>o further improve the signal-to-noise ratio, the wavelength scan was repeated 100 times under identical experimental conditions. The filtered spectra from all scans were then averaged</w:t>
      </w:r>
      <w:r w:rsidR="009B1A98">
        <w:rPr>
          <w:lang w:val="en-GB" w:eastAsia="en-GB"/>
        </w:rPr>
        <w:t xml:space="preserve"> to reduce </w:t>
      </w:r>
      <w:r w:rsidRPr="003D53F8">
        <w:rPr>
          <w:lang w:val="en-GB" w:eastAsia="en-GB"/>
        </w:rPr>
        <w:t>uncorrelated noise while maintaining reproducibility of the measured absorption features.</w:t>
      </w:r>
      <w:r w:rsidR="00A7449F">
        <w:rPr>
          <w:lang w:val="en-GB" w:eastAsia="en-GB"/>
        </w:rPr>
        <w:t xml:space="preserve"> The total </w:t>
      </w:r>
      <w:r w:rsidR="00F360B6">
        <w:rPr>
          <w:lang w:val="en-GB" w:eastAsia="en-GB"/>
        </w:rPr>
        <w:t xml:space="preserve">insertion loss of the TDM chip was measured to be </w:t>
      </w:r>
      <w:commentRangeStart w:id="19"/>
      <w:r w:rsidR="00363D2E">
        <w:rPr>
          <w:lang w:val="en-GB" w:eastAsia="en-GB"/>
        </w:rPr>
        <w:t>16.2</w:t>
      </w:r>
      <w:r w:rsidR="00F360B6">
        <w:rPr>
          <w:lang w:val="en-GB" w:eastAsia="en-GB"/>
        </w:rPr>
        <w:t xml:space="preserve"> </w:t>
      </w:r>
      <w:proofErr w:type="spellStart"/>
      <w:r w:rsidR="00F360B6">
        <w:rPr>
          <w:lang w:val="en-GB" w:eastAsia="en-GB"/>
        </w:rPr>
        <w:t>dB</w:t>
      </w:r>
      <w:commentRangeEnd w:id="19"/>
      <w:r w:rsidR="0028797C">
        <w:rPr>
          <w:rStyle w:val="CommentReference"/>
        </w:rPr>
        <w:commentReference w:id="19"/>
      </w:r>
      <w:r w:rsidR="00F360B6">
        <w:rPr>
          <w:lang w:val="en-GB" w:eastAsia="en-GB"/>
        </w:rPr>
        <w:t>.</w:t>
      </w:r>
      <w:proofErr w:type="spellEnd"/>
    </w:p>
    <w:p w14:paraId="5E9ABFEB" w14:textId="2ADB9D56" w:rsidR="00041373" w:rsidRDefault="005A510B" w:rsidP="005A510B">
      <w:pPr>
        <w:pStyle w:val="TAMainText"/>
        <w:ind w:firstLine="0"/>
        <w:rPr>
          <w:highlight w:val="yellow"/>
          <w:lang w:val="en-GB" w:eastAsia="en-GB"/>
        </w:rPr>
      </w:pPr>
      <w:r>
        <w:rPr>
          <w:noProof/>
        </w:rPr>
        <w:drawing>
          <wp:inline distT="0" distB="0" distL="0" distR="0" wp14:anchorId="462FC5DB" wp14:editId="31C645B1">
            <wp:extent cx="5731271" cy="2005330"/>
            <wp:effectExtent l="0" t="0" r="0" b="0"/>
            <wp:docPr id="111694494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44944" name="Graphic 1"/>
                    <pic:cNvPicPr/>
                  </pic:nvPicPr>
                  <pic:blipFill>
                    <a:blip r:embed="rId16">
                      <a:extLst>
                        <a:ext uri="{96DAC541-7B7A-43D3-8B79-37D633B846F1}">
                          <asvg:svgBlip xmlns:asvg="http://schemas.microsoft.com/office/drawing/2016/SVG/main" r:embed="rId17"/>
                        </a:ext>
                      </a:extLst>
                    </a:blip>
                    <a:stretch>
                      <a:fillRect/>
                    </a:stretch>
                  </pic:blipFill>
                  <pic:spPr>
                    <a:xfrm>
                      <a:off x="0" y="0"/>
                      <a:ext cx="5731271" cy="2005330"/>
                    </a:xfrm>
                    <a:prstGeom prst="rect">
                      <a:avLst/>
                    </a:prstGeom>
                  </pic:spPr>
                </pic:pic>
              </a:graphicData>
            </a:graphic>
          </wp:inline>
        </w:drawing>
      </w:r>
    </w:p>
    <w:p w14:paraId="57FCF8E8" w14:textId="1B17E8A1" w:rsidR="00041373" w:rsidRPr="00476984" w:rsidRDefault="005A510B" w:rsidP="00476984">
      <w:pPr>
        <w:pStyle w:val="VAFigureCaption"/>
        <w:rPr>
          <w:highlight w:val="yellow"/>
        </w:rPr>
      </w:pPr>
      <w:bookmarkStart w:id="20" w:name="_Ref220573989"/>
      <w:r w:rsidRPr="00476984">
        <w:lastRenderedPageBreak/>
        <w:t xml:space="preserve">Figure </w:t>
      </w:r>
      <w:r w:rsidRPr="00476984">
        <w:fldChar w:fldCharType="begin"/>
      </w:r>
      <w:r w:rsidRPr="00476984">
        <w:instrText xml:space="preserve"> SEQ Figure \* ARABIC </w:instrText>
      </w:r>
      <w:r w:rsidRPr="00476984">
        <w:fldChar w:fldCharType="separate"/>
      </w:r>
      <w:r w:rsidR="00F40665">
        <w:rPr>
          <w:noProof/>
        </w:rPr>
        <w:t>2</w:t>
      </w:r>
      <w:r w:rsidRPr="00476984">
        <w:fldChar w:fldCharType="end"/>
      </w:r>
      <w:bookmarkEnd w:id="20"/>
      <w:r w:rsidR="00E7297D" w:rsidRPr="00476984">
        <w:t>: schematic of the measurement setup used to perform absorption spectroscopy.</w:t>
      </w:r>
      <w:r w:rsidR="00476984" w:rsidRPr="00476984">
        <w:t xml:space="preserve"> The TDM chips </w:t>
      </w:r>
      <w:r w:rsidR="00F360B6">
        <w:t>we</w:t>
      </w:r>
      <w:r w:rsidR="00476984" w:rsidRPr="00476984">
        <w:t>re mounted on a three-axis stage for alignment.</w:t>
      </w:r>
    </w:p>
    <w:p w14:paraId="77DD39D6" w14:textId="48366757" w:rsidR="00524718" w:rsidRDefault="007919DE" w:rsidP="00EC083F">
      <w:pPr>
        <w:pStyle w:val="TAMainText"/>
      </w:pPr>
      <w:r w:rsidRPr="007919DE">
        <w:t>Phenytoin (≥</w:t>
      </w:r>
      <w:r w:rsidR="00D20343">
        <w:t xml:space="preserve"> </w:t>
      </w:r>
      <w:r w:rsidRPr="007919DE">
        <w:t xml:space="preserve">98% purity; Cayman Chemical, US) was prepared in </w:t>
      </w:r>
      <w:r w:rsidR="00524718" w:rsidRPr="007919DE">
        <w:t>human serum (male AB plasma, USA origin, sterile</w:t>
      </w:r>
      <w:r w:rsidR="00524718" w:rsidRPr="007919DE">
        <w:noBreakHyphen/>
        <w:t xml:space="preserve">filtered; Merck, UK) </w:t>
      </w:r>
      <w:r w:rsidRPr="007919DE">
        <w:t xml:space="preserve">at concentrations of 5, 10, 20, and 40 mg/L. </w:t>
      </w:r>
      <w:r w:rsidR="00524718">
        <w:t>The solutions were</w:t>
      </w:r>
      <w:r w:rsidRPr="007919DE">
        <w:t xml:space="preserve"> subsequently extracted into ethyl acetate following a previously published method</w:t>
      </w:r>
      <w:r w:rsidR="00A66F98">
        <w:fldChar w:fldCharType="begin"/>
      </w:r>
      <w:r w:rsidR="005055C6">
        <w:instrText xml:space="preserve"> ADDIN EN.CITE &lt;EndNote&gt;&lt;Cite&gt;&lt;Author&gt;Dong&lt;/Author&gt;&lt;Year&gt;2024&lt;/Year&gt;&lt;RecNum&gt;819&lt;/RecNum&gt;&lt;DisplayText&gt;&lt;style face="superscript"&gt;13&lt;/style&gt;&lt;/DisplayText&gt;&lt;record&gt;&lt;rec-number&gt;819&lt;/rec-number&gt;&lt;foreign-keys&gt;&lt;key app="EN" db-id="fzva0ad2rzdftzers08v0dsmt5f0wsvfex5r" timestamp="1741192592"&gt;819&lt;/key&gt;&lt;/foreign-keys&gt;&lt;ref-type name="Journal Article"&gt;17&lt;/ref-type&gt;&lt;contributors&gt;&lt;authors&gt;&lt;author&gt;Dong, Pin&lt;/author&gt;&lt;author&gt;Li, Kezheng&lt;/author&gt;&lt;author&gt;Rowe, David J.&lt;/author&gt;&lt;author&gt;Krauss, Thomas F.&lt;/author&gt;&lt;author&gt;Wang, Yue&lt;/author&gt;&lt;/authors&gt;&lt;/contributors&gt;&lt;titles&gt;&lt;title&gt;Protocol for Therapeutic Drug Monitoring Within the Clinical Range Using Mid-infrared Spectroscopy&lt;/title&gt;&lt;secondary-title&gt;Analytical Chemistry&lt;/secondary-title&gt;&lt;/titles&gt;&lt;periodical&gt;&lt;full-title&gt;Analytical Chemistry&lt;/full-title&gt;&lt;/periodical&gt;&lt;pages&gt;19021-19028&lt;/pages&gt;&lt;volume&gt;96&lt;/volume&gt;&lt;number&gt;48&lt;/number&gt;&lt;dates&gt;&lt;year&gt;2024&lt;/year&gt;&lt;pub-dates&gt;&lt;date&gt;2024/12/03&lt;/date&gt;&lt;/pub-dates&gt;&lt;/dates&gt;&lt;publisher&gt;American Chemical Society&lt;/publisher&gt;&lt;isbn&gt;0003-2700&lt;/isbn&gt;&lt;urls&gt;&lt;related-urls&gt;&lt;url&gt;https://doi.org/10.1021/acs.analchem.4c03864&lt;/url&gt;&lt;/related-urls&gt;&lt;/urls&gt;&lt;electronic-resource-num&gt;10.1021/acs.analchem.4c03864&lt;/electronic-resource-num&gt;&lt;/record&gt;&lt;/Cite&gt;&lt;/EndNote&gt;</w:instrText>
      </w:r>
      <w:r w:rsidR="00A66F98">
        <w:fldChar w:fldCharType="separate"/>
      </w:r>
      <w:r w:rsidR="005055C6" w:rsidRPr="005055C6">
        <w:rPr>
          <w:noProof/>
          <w:vertAlign w:val="superscript"/>
        </w:rPr>
        <w:t>13</w:t>
      </w:r>
      <w:r w:rsidR="00A66F98">
        <w:fldChar w:fldCharType="end"/>
      </w:r>
      <w:r w:rsidRPr="007919DE">
        <w:t xml:space="preserve">. A </w:t>
      </w:r>
      <w:r w:rsidR="00524718">
        <w:t xml:space="preserve">blank </w:t>
      </w:r>
      <w:r w:rsidRPr="007919DE">
        <w:t>serum control underwent the same ext</w:t>
      </w:r>
      <w:r w:rsidRPr="0050176C">
        <w:t>raction procedure but without the addition of phenytoin.</w:t>
      </w:r>
      <w:r w:rsidR="006E7D04" w:rsidRPr="0050176C">
        <w:t xml:space="preserve"> </w:t>
      </w:r>
    </w:p>
    <w:p w14:paraId="7AB98287" w14:textId="0128F01B" w:rsidR="00EC083F" w:rsidRDefault="0050176C" w:rsidP="00EC083F">
      <w:pPr>
        <w:pStyle w:val="TAMainText"/>
      </w:pPr>
      <w:commentRangeStart w:id="21"/>
      <w:r w:rsidRPr="0050176C">
        <w:t>The</w:t>
      </w:r>
      <w:r>
        <w:t xml:space="preserve"> multistep e</w:t>
      </w:r>
      <w:r w:rsidRPr="0050176C">
        <w:t xml:space="preserve">xtraction </w:t>
      </w:r>
      <w:r>
        <w:t>was used to</w:t>
      </w:r>
      <w:r w:rsidRPr="0050176C">
        <w:t xml:space="preserve"> remove major endogenous interferents</w:t>
      </w:r>
      <w:r>
        <w:t xml:space="preserve"> from the </w:t>
      </w:r>
      <w:r w:rsidR="00EC083F">
        <w:t>serum solutions</w:t>
      </w:r>
      <w:r w:rsidR="00524718">
        <w:t xml:space="preserve"> and can be </w:t>
      </w:r>
      <w:r w:rsidR="00930116">
        <w:t>summarized</w:t>
      </w:r>
      <w:r w:rsidR="00524718">
        <w:t xml:space="preserve"> as follows</w:t>
      </w:r>
      <w:r w:rsidRPr="0050176C">
        <w:t>. Lipoproteins were first precipitated by adding a magnesium chloride–dextran sulfate sodium solution, enabling removal of lipid</w:t>
      </w:r>
      <w:r w:rsidRPr="0050176C">
        <w:noBreakHyphen/>
        <w:t>bound components.  The supernatant was then treated with saturated ammonium sulfate to salt</w:t>
      </w:r>
      <w:r w:rsidRPr="0050176C">
        <w:noBreakHyphen/>
        <w:t>out albumin, which retains the protein</w:t>
      </w:r>
      <w:r w:rsidRPr="0050176C">
        <w:noBreakHyphen/>
        <w:t>bound phenytoin; the supernatant containing small water</w:t>
      </w:r>
      <w:r w:rsidRPr="0050176C">
        <w:noBreakHyphen/>
        <w:t xml:space="preserve">soluble molecules was discarded.  The albumin precipitate was resuspended in water and extracted twice with ethyl acetate to isolate phenytoin while removing remaining proteins.  The organic extracts were </w:t>
      </w:r>
      <w:r w:rsidR="009F50F1">
        <w:t xml:space="preserve">combined and the solvent </w:t>
      </w:r>
      <w:r w:rsidR="00360432">
        <w:t xml:space="preserve">was </w:t>
      </w:r>
      <w:r w:rsidRPr="0050176C">
        <w:t>evaporated, and the dried residue was reconstituted in ethyl acetate for subsequent analysis.</w:t>
      </w:r>
      <w:commentRangeEnd w:id="21"/>
      <w:r w:rsidR="0028797C">
        <w:rPr>
          <w:rStyle w:val="CommentReference"/>
        </w:rPr>
        <w:commentReference w:id="21"/>
      </w:r>
    </w:p>
    <w:p w14:paraId="1113F371" w14:textId="7E25014C" w:rsidR="006F113C" w:rsidRDefault="00403159" w:rsidP="006F113C">
      <w:pPr>
        <w:pStyle w:val="TAMainText"/>
      </w:pPr>
      <w:commentRangeStart w:id="22"/>
      <w:r>
        <w:t>For each measurement</w:t>
      </w:r>
      <w:commentRangeEnd w:id="22"/>
      <w:r w:rsidR="00223221">
        <w:rPr>
          <w:rStyle w:val="CommentReference"/>
          <w:sz w:val="24"/>
          <w:szCs w:val="20"/>
        </w:rPr>
        <w:commentReference w:id="22"/>
      </w:r>
      <w:r>
        <w:t xml:space="preserve">, </w:t>
      </w:r>
      <w:r w:rsidR="0074277C">
        <w:t>a reference</w:t>
      </w:r>
      <w:r w:rsidR="001A0237">
        <w:t xml:space="preserve"> spectrum was recorded by </w:t>
      </w:r>
      <w:r w:rsidR="0028797C">
        <w:t xml:space="preserve">first </w:t>
      </w:r>
      <w:r w:rsidR="001A0237">
        <w:t xml:space="preserve">measuring </w:t>
      </w:r>
      <w:r>
        <w:t>the power transmission spectrum</w:t>
      </w:r>
      <w:r w:rsidR="00D32B94">
        <w:t xml:space="preserve"> of each waveguide. 0.5 μL of phenytoin sample was </w:t>
      </w:r>
      <w:r w:rsidR="0028797C">
        <w:t xml:space="preserve">then </w:t>
      </w:r>
      <w:r w:rsidR="00D32B94">
        <w:t xml:space="preserve">pipetted onto the </w:t>
      </w:r>
      <w:r w:rsidR="001A0237">
        <w:t>waveguide array</w:t>
      </w:r>
      <w:r w:rsidR="0074277C">
        <w:t xml:space="preserve"> and </w:t>
      </w:r>
      <w:commentRangeStart w:id="23"/>
      <w:r w:rsidR="0074277C">
        <w:t>allowed to dry under ambient conditions</w:t>
      </w:r>
      <w:commentRangeEnd w:id="23"/>
      <w:r w:rsidR="00374874">
        <w:rPr>
          <w:rStyle w:val="CommentReference"/>
          <w:sz w:val="24"/>
          <w:szCs w:val="20"/>
        </w:rPr>
        <w:commentReference w:id="23"/>
      </w:r>
      <w:r w:rsidR="007A1E77">
        <w:t>. In practice, drying took several seconds</w:t>
      </w:r>
      <w:r w:rsidR="0074277C">
        <w:t>. The waveg</w:t>
      </w:r>
      <w:r w:rsidR="001A0237">
        <w:t xml:space="preserve">uides were measured a second time in the same way to provide sample spectra. Absorbance was calculated </w:t>
      </w:r>
      <w:r w:rsidR="00441B52">
        <w:t>as 10 log</w:t>
      </w:r>
      <w:r w:rsidR="00441B52" w:rsidRPr="006F113C">
        <w:rPr>
          <w:vertAlign w:val="subscript"/>
        </w:rPr>
        <w:t>10</w:t>
      </w:r>
      <w:r w:rsidR="006F113C">
        <w:rPr>
          <w:vertAlign w:val="subscript"/>
        </w:rPr>
        <w:t xml:space="preserve"> </w:t>
      </w:r>
      <w:r w:rsidR="006F113C">
        <w:t>of the ratio of the sample and reference spectra.</w:t>
      </w:r>
      <w:r w:rsidR="00AC18F1">
        <w:t xml:space="preserve"> All samples were measured in triplicate</w:t>
      </w:r>
      <w:r w:rsidR="00710824">
        <w:t xml:space="preserve">; that is, aliquots of each sample were pipetted onto three waveguide </w:t>
      </w:r>
      <w:r w:rsidR="00710824">
        <w:lastRenderedPageBreak/>
        <w:t>arrays</w:t>
      </w:r>
      <w:r w:rsidR="00AB6191">
        <w:t xml:space="preserve"> and characteri</w:t>
      </w:r>
      <w:r w:rsidR="001A424A">
        <w:t>z</w:t>
      </w:r>
      <w:r w:rsidR="00AB6191">
        <w:t>ed individually</w:t>
      </w:r>
      <w:r w:rsidR="00965B30">
        <w:t xml:space="preserve">. </w:t>
      </w:r>
      <w:r w:rsidR="00B904D6">
        <w:t xml:space="preserve">A </w:t>
      </w:r>
      <w:r w:rsidR="00965B30">
        <w:t xml:space="preserve">new waveguide array was used to </w:t>
      </w:r>
      <w:r w:rsidR="00930116">
        <w:t>characterize</w:t>
      </w:r>
      <w:r w:rsidR="00965B30">
        <w:t xml:space="preserve"> each aliquot</w:t>
      </w:r>
      <w:r w:rsidR="002D000D">
        <w:t>.</w:t>
      </w:r>
    </w:p>
    <w:p w14:paraId="1D06F685" w14:textId="0DBCDE9D" w:rsidR="005E2288" w:rsidRDefault="0036792D" w:rsidP="006F113C">
      <w:pPr>
        <w:pStyle w:val="TAMainText"/>
      </w:pPr>
      <w:r>
        <w:t xml:space="preserve">The noise of the system was </w:t>
      </w:r>
      <w:r w:rsidR="00C13850">
        <w:t>estimated using the standard deviation of repeated measurements</w:t>
      </w:r>
      <w:r w:rsidR="004E1DBC">
        <w:t xml:space="preserve"> of the blank serum control</w:t>
      </w:r>
      <w:r w:rsidR="00C13850">
        <w:t>.</w:t>
      </w:r>
      <w:r w:rsidR="004A4D83">
        <w:t xml:space="preserve"> To achieve this, the entire measurement procedure, where 100 scans </w:t>
      </w:r>
      <w:r w:rsidR="00523265">
        <w:t xml:space="preserve">were </w:t>
      </w:r>
      <w:r w:rsidR="004A4D83">
        <w:t>filtered and averaged for a single spectrum</w:t>
      </w:r>
      <w:r w:rsidR="00523265">
        <w:t xml:space="preserve">, was repeated twenty times for each of three </w:t>
      </w:r>
      <w:commentRangeStart w:id="24"/>
      <w:r w:rsidR="00523265">
        <w:t>aliquots of the blank serum control</w:t>
      </w:r>
      <w:commentRangeEnd w:id="24"/>
      <w:r w:rsidR="0028797C">
        <w:rPr>
          <w:rStyle w:val="CommentReference"/>
        </w:rPr>
        <w:commentReference w:id="24"/>
      </w:r>
      <w:r w:rsidR="00B62570">
        <w:t xml:space="preserve"> for every waveguide</w:t>
      </w:r>
      <w:r w:rsidR="00523265">
        <w:t>.</w:t>
      </w:r>
    </w:p>
    <w:p w14:paraId="302485E1" w14:textId="73CCC0F9" w:rsidR="00AB34C5" w:rsidRDefault="00E60A5D" w:rsidP="006F113C">
      <w:pPr>
        <w:pStyle w:val="TAMainText"/>
      </w:pPr>
      <w:r>
        <w:t xml:space="preserve"> </w:t>
      </w:r>
    </w:p>
    <w:p w14:paraId="218FD588" w14:textId="6ACCE19F" w:rsidR="00974185" w:rsidRDefault="005769FE" w:rsidP="00D20343">
      <w:pPr>
        <w:pStyle w:val="VCSchemeTitle"/>
        <w:spacing w:after="0"/>
        <w:jc w:val="left"/>
      </w:pPr>
      <w:r>
        <w:t>RESULTS</w:t>
      </w:r>
      <w:r w:rsidR="00C10EE0">
        <w:t xml:space="preserve"> </w:t>
      </w:r>
      <w:commentRangeStart w:id="25"/>
      <w:r w:rsidR="00F05D29">
        <w:t xml:space="preserve">To explore the effect of interaction length </w:t>
      </w:r>
      <w:commentRangeEnd w:id="25"/>
      <w:r w:rsidR="0042225F">
        <w:rPr>
          <w:rStyle w:val="CommentReference"/>
        </w:rPr>
        <w:commentReference w:id="25"/>
      </w:r>
      <w:r w:rsidR="00F05D29">
        <w:t>on limit of detection</w:t>
      </w:r>
      <w:r w:rsidR="00E23A19">
        <w:t xml:space="preserve"> (</w:t>
      </w:r>
      <w:proofErr w:type="spellStart"/>
      <w:r w:rsidR="00E23A19">
        <w:t>LoD</w:t>
      </w:r>
      <w:proofErr w:type="spellEnd"/>
      <w:r w:rsidR="00E23A19">
        <w:t>)</w:t>
      </w:r>
      <w:r w:rsidR="00F05D29">
        <w:t xml:space="preserve"> while efficiently using laboratory time, four waveguides were characteri</w:t>
      </w:r>
      <w:r w:rsidR="001A424A">
        <w:t>z</w:t>
      </w:r>
      <w:r w:rsidR="00F05D29">
        <w:t xml:space="preserve">ed </w:t>
      </w:r>
      <w:proofErr w:type="gramStart"/>
      <w:r w:rsidR="00F05D29">
        <w:t>for</w:t>
      </w:r>
      <w:proofErr w:type="gramEnd"/>
      <w:r w:rsidR="00F05D29">
        <w:t xml:space="preserve"> extracted phenytoin samples. </w:t>
      </w:r>
      <w:commentRangeStart w:id="26"/>
      <w:r w:rsidR="006F15DB">
        <w:t xml:space="preserve">Waveguide </w:t>
      </w:r>
      <w:commentRangeEnd w:id="26"/>
      <w:r>
        <w:rPr>
          <w:rStyle w:val="CommentReference"/>
          <w:sz w:val="24"/>
          <w:szCs w:val="20"/>
        </w:rPr>
        <w:commentReference w:id="26"/>
      </w:r>
      <w:r w:rsidR="006F15DB">
        <w:t xml:space="preserve">6 had interaction length </w:t>
      </w:r>
      <w:r w:rsidR="006F15DB" w:rsidRPr="62197E4B">
        <w:rPr>
          <w:i/>
          <w:iCs/>
        </w:rPr>
        <w:t>l</w:t>
      </w:r>
      <w:r w:rsidR="006F15DB">
        <w:t xml:space="preserve"> = </w:t>
      </w:r>
      <w:r w:rsidR="00FE27DE">
        <w:t>3.44</w:t>
      </w:r>
      <w:r w:rsidR="006F15DB">
        <w:t xml:space="preserve"> mm, waveguide 8</w:t>
      </w:r>
      <w:r w:rsidR="006F15DB" w:rsidRPr="62197E4B">
        <w:rPr>
          <w:i/>
          <w:iCs/>
        </w:rPr>
        <w:t xml:space="preserve"> l</w:t>
      </w:r>
      <w:r w:rsidR="006F15DB">
        <w:t xml:space="preserve"> = </w:t>
      </w:r>
      <w:r w:rsidR="00FE27DE">
        <w:t>4.44</w:t>
      </w:r>
      <w:r w:rsidR="006F15DB">
        <w:t xml:space="preserve"> mm, waveguide </w:t>
      </w:r>
      <w:r w:rsidR="00684E3A">
        <w:t>10</w:t>
      </w:r>
      <w:r w:rsidR="006F15DB" w:rsidRPr="62197E4B">
        <w:rPr>
          <w:i/>
          <w:iCs/>
        </w:rPr>
        <w:t xml:space="preserve"> l</w:t>
      </w:r>
      <w:r w:rsidR="006F15DB">
        <w:t xml:space="preserve"> = 5</w:t>
      </w:r>
      <w:r w:rsidR="00FE27DE">
        <w:t>.44</w:t>
      </w:r>
      <w:r w:rsidR="006F15DB">
        <w:t xml:space="preserve"> mm</w:t>
      </w:r>
      <w:r w:rsidR="00684E3A">
        <w:t xml:space="preserve"> and</w:t>
      </w:r>
      <w:r w:rsidR="006F15DB">
        <w:t xml:space="preserve"> waveguide </w:t>
      </w:r>
      <w:r w:rsidR="00684E3A">
        <w:t>12</w:t>
      </w:r>
      <w:r w:rsidR="00684E3A" w:rsidRPr="62197E4B">
        <w:rPr>
          <w:i/>
          <w:iCs/>
        </w:rPr>
        <w:t xml:space="preserve"> l</w:t>
      </w:r>
      <w:r w:rsidR="00684E3A">
        <w:t xml:space="preserve"> = </w:t>
      </w:r>
      <w:r w:rsidR="00FE27DE">
        <w:t>6.44</w:t>
      </w:r>
      <w:r w:rsidR="00684E3A">
        <w:t xml:space="preserve"> mm. </w:t>
      </w:r>
      <w:r w:rsidR="4FB9FA80">
        <w:t>Each</w:t>
      </w:r>
      <w:r w:rsidR="00857884">
        <w:t xml:space="preserve"> waveguide had a total length of 11.79 mm.</w:t>
      </w:r>
    </w:p>
    <w:p w14:paraId="4CD5D790" w14:textId="076D36BC" w:rsidR="005459FF" w:rsidRPr="00524718" w:rsidRDefault="005459FF" w:rsidP="00524718">
      <w:pPr>
        <w:pStyle w:val="TAMainText"/>
      </w:pPr>
      <w:r w:rsidRPr="00524718">
        <w:fldChar w:fldCharType="begin"/>
      </w:r>
      <w:r w:rsidRPr="00524718">
        <w:instrText xml:space="preserve"> REF _Ref216342291 \h </w:instrText>
      </w:r>
      <w:r w:rsidR="00E71035" w:rsidRPr="00524718">
        <w:instrText xml:space="preserve"> \* MERGEFORMAT </w:instrText>
      </w:r>
      <w:r w:rsidRPr="00524718">
        <w:fldChar w:fldCharType="separate"/>
      </w:r>
      <w:r w:rsidR="00575B3D">
        <w:t>Figure 3</w:t>
      </w:r>
      <w:r w:rsidRPr="00524718">
        <w:fldChar w:fldCharType="end"/>
      </w:r>
      <w:r w:rsidRPr="00524718">
        <w:t xml:space="preserve"> shows </w:t>
      </w:r>
      <w:r w:rsidR="00D12C7B" w:rsidRPr="00524718">
        <w:t xml:space="preserve">the absorbance spectra for multiple concentrations of extracted phenytoin, measured using </w:t>
      </w:r>
      <w:r w:rsidR="00E71035" w:rsidRPr="00524718">
        <w:t>waveguides with different interaction lengths.</w:t>
      </w:r>
      <w:r w:rsidR="00F10AA3">
        <w:t xml:space="preserve"> The solid line represents the mean spectrum and the shaded areas represent </w:t>
      </w:r>
      <w:r w:rsidR="00F10AA3">
        <w:rPr>
          <w:rFonts w:cs="Times"/>
        </w:rPr>
        <w:t>±</w:t>
      </w:r>
      <w:r w:rsidR="00F10AA3">
        <w:t xml:space="preserve"> </w:t>
      </w:r>
      <w:r w:rsidR="00EB6CF6">
        <w:t>one standard deviation, taken from the repeated measurements of each sample.</w:t>
      </w:r>
      <w:r w:rsidR="00E71035" w:rsidRPr="00524718">
        <w:t xml:space="preserve"> </w:t>
      </w:r>
      <w:r w:rsidR="00E71035" w:rsidRPr="00524718">
        <w:fldChar w:fldCharType="begin"/>
      </w:r>
      <w:r w:rsidR="00E71035" w:rsidRPr="00524718">
        <w:instrText xml:space="preserve"> REF _Ref216342379 \h </w:instrText>
      </w:r>
      <w:r w:rsidR="00524718">
        <w:instrText xml:space="preserve"> \* MERGEFORMAT </w:instrText>
      </w:r>
      <w:r w:rsidR="00E71035" w:rsidRPr="00524718">
        <w:fldChar w:fldCharType="separate"/>
      </w:r>
      <w:r w:rsidR="00575B3D">
        <w:t>Figure 4</w:t>
      </w:r>
      <w:r w:rsidR="00E71035" w:rsidRPr="00524718">
        <w:fldChar w:fldCharType="end"/>
      </w:r>
      <w:r w:rsidR="00E71035" w:rsidRPr="00524718">
        <w:t xml:space="preserve"> shows the result of integrating the areas under the curves </w:t>
      </w:r>
      <w:r w:rsidR="0012639D">
        <w:t xml:space="preserve">(AUC) </w:t>
      </w:r>
      <w:r w:rsidR="00E71035" w:rsidRPr="00524718">
        <w:t xml:space="preserve">in </w:t>
      </w:r>
      <w:r w:rsidR="00E71035" w:rsidRPr="00524718">
        <w:fldChar w:fldCharType="begin"/>
      </w:r>
      <w:r w:rsidR="00E71035" w:rsidRPr="00524718">
        <w:instrText xml:space="preserve"> REF _Ref216342291 \h </w:instrText>
      </w:r>
      <w:r w:rsidR="00524718">
        <w:instrText xml:space="preserve"> \* MERGEFORMAT </w:instrText>
      </w:r>
      <w:r w:rsidR="00E71035" w:rsidRPr="00524718">
        <w:fldChar w:fldCharType="separate"/>
      </w:r>
      <w:r w:rsidR="00575B3D">
        <w:t>Figure 3</w:t>
      </w:r>
      <w:r w:rsidR="00E71035" w:rsidRPr="00524718">
        <w:fldChar w:fldCharType="end"/>
      </w:r>
      <w:r w:rsidR="00D46078" w:rsidRPr="00524718">
        <w:t xml:space="preserve"> within the wavelength region </w:t>
      </w:r>
      <w:r w:rsidR="00E2787B" w:rsidRPr="00524718">
        <w:t>5.71</w:t>
      </w:r>
      <w:r w:rsidR="00D46078" w:rsidRPr="00524718">
        <w:t xml:space="preserve"> – </w:t>
      </w:r>
      <w:r w:rsidR="00E2787B" w:rsidRPr="00524718">
        <w:t>5.87</w:t>
      </w:r>
      <w:r w:rsidR="00D46078" w:rsidRPr="00524718">
        <w:t xml:space="preserve"> </w:t>
      </w:r>
      <w:r w:rsidR="00D46078" w:rsidRPr="00524718">
        <w:rPr>
          <w:rFonts w:ascii="Symbol" w:eastAsia="Symbol" w:hAnsi="Symbol" w:cs="Symbol"/>
        </w:rPr>
        <w:t>m</w:t>
      </w:r>
      <w:r w:rsidR="00D46078" w:rsidRPr="00524718">
        <w:t>m</w:t>
      </w:r>
      <w:r w:rsidR="00953C5A" w:rsidRPr="00524718">
        <w:t>,</w:t>
      </w:r>
      <w:r w:rsidR="00E2787B" w:rsidRPr="00524718">
        <w:t xml:space="preserve"> covering the main phenytoin absorption peak,</w:t>
      </w:r>
      <w:r w:rsidR="00953C5A" w:rsidRPr="00524718">
        <w:t xml:space="preserve"> plotted with respect to concentration and again plotted for waveguides with different interaction lengths.</w:t>
      </w:r>
      <w:r w:rsidR="00E2787B" w:rsidRPr="00524718">
        <w:t xml:space="preserve"> Interference bands associated with water </w:t>
      </w:r>
      <w:r w:rsidR="00930116" w:rsidRPr="00524718">
        <w:t>vapor</w:t>
      </w:r>
      <w:r w:rsidR="00E2787B" w:rsidRPr="00524718">
        <w:t xml:space="preserve"> from the free-space path of the experimental setup</w:t>
      </w:r>
      <w:r w:rsidR="001B1B89">
        <w:t>, shown as gray</w:t>
      </w:r>
      <w:r w:rsidR="00CB5C2B">
        <w:t xml:space="preserve"> shaded regions in </w:t>
      </w:r>
      <w:r w:rsidR="00CB5C2B">
        <w:fldChar w:fldCharType="begin"/>
      </w:r>
      <w:r w:rsidR="00CB5C2B">
        <w:instrText xml:space="preserve"> REF _Ref216342291 \h </w:instrText>
      </w:r>
      <w:r w:rsidR="00CB5C2B">
        <w:fldChar w:fldCharType="separate"/>
      </w:r>
      <w:r w:rsidR="00F40665">
        <w:t xml:space="preserve">Figure </w:t>
      </w:r>
      <w:r w:rsidR="00F40665">
        <w:rPr>
          <w:noProof/>
        </w:rPr>
        <w:t>3</w:t>
      </w:r>
      <w:r w:rsidR="00CB5C2B">
        <w:fldChar w:fldCharType="end"/>
      </w:r>
      <w:r w:rsidR="00CB5C2B">
        <w:t>,</w:t>
      </w:r>
      <w:r w:rsidR="00E2787B" w:rsidRPr="00524718">
        <w:t xml:space="preserve"> were excluded from </w:t>
      </w:r>
      <w:proofErr w:type="gramStart"/>
      <w:r w:rsidR="00E2787B" w:rsidRPr="00524718">
        <w:t xml:space="preserve">the </w:t>
      </w:r>
      <w:r w:rsidR="00E2787B" w:rsidRPr="00CB5C2B">
        <w:t>integration</w:t>
      </w:r>
      <w:proofErr w:type="gramEnd"/>
      <w:r w:rsidR="00E2787B" w:rsidRPr="00CB5C2B">
        <w:t>.</w:t>
      </w:r>
      <w:r w:rsidR="00CA3DCF" w:rsidRPr="00524718">
        <w:t xml:space="preserve"> </w:t>
      </w:r>
      <w:r w:rsidR="006F33BB">
        <w:t xml:space="preserve">For each subplot in </w:t>
      </w:r>
      <w:r w:rsidR="00B82A7E">
        <w:fldChar w:fldCharType="begin"/>
      </w:r>
      <w:r w:rsidR="00B82A7E">
        <w:instrText xml:space="preserve"> REF _Ref216342379 \h </w:instrText>
      </w:r>
      <w:r w:rsidR="00B82A7E">
        <w:fldChar w:fldCharType="separate"/>
      </w:r>
      <w:r w:rsidR="00B82A7E">
        <w:t xml:space="preserve">Figure </w:t>
      </w:r>
      <w:r w:rsidR="00B82A7E">
        <w:rPr>
          <w:noProof/>
        </w:rPr>
        <w:t>4</w:t>
      </w:r>
      <w:r w:rsidR="00B82A7E">
        <w:fldChar w:fldCharType="end"/>
      </w:r>
      <w:r w:rsidR="006F33BB">
        <w:t>, t</w:t>
      </w:r>
      <w:r w:rsidR="00CA3DCF" w:rsidRPr="00524718">
        <w:t>he height of the shaded area represents the 3</w:t>
      </w:r>
      <w:r w:rsidR="00CA3DCF" w:rsidRPr="00524718">
        <w:rPr>
          <w:rFonts w:ascii="Symbol" w:eastAsia="Symbol" w:hAnsi="Symbol" w:cs="Symbol"/>
        </w:rPr>
        <w:t>s</w:t>
      </w:r>
      <w:r w:rsidR="00CA3DCF" w:rsidRPr="00524718">
        <w:t xml:space="preserve"> noise limit, calculated from the AUC from </w:t>
      </w:r>
      <w:commentRangeStart w:id="27"/>
      <w:r w:rsidR="00CA3DCF" w:rsidRPr="00524718">
        <w:t>the repeated blank measurements</w:t>
      </w:r>
      <w:commentRangeEnd w:id="27"/>
      <w:r w:rsidR="00033C5A">
        <w:rPr>
          <w:rStyle w:val="CommentReference"/>
          <w:sz w:val="24"/>
          <w:szCs w:val="20"/>
        </w:rPr>
        <w:commentReference w:id="27"/>
      </w:r>
      <w:r w:rsidR="009979C7">
        <w:t>, where three aliquots</w:t>
      </w:r>
      <w:r w:rsidR="00E144E4">
        <w:t xml:space="preserve"> of the blank sample</w:t>
      </w:r>
      <w:r w:rsidR="009979C7">
        <w:t xml:space="preserve"> were measured 20 times each</w:t>
      </w:r>
      <w:r w:rsidR="00CA3DCF" w:rsidRPr="00524718">
        <w:t xml:space="preserve">. The </w:t>
      </w:r>
      <w:proofErr w:type="spellStart"/>
      <w:r w:rsidR="009B6F2B">
        <w:t>LoD</w:t>
      </w:r>
      <w:proofErr w:type="spellEnd"/>
      <w:r w:rsidR="00CA3DCF" w:rsidRPr="00524718">
        <w:t xml:space="preserve"> </w:t>
      </w:r>
      <w:r w:rsidR="005B7416">
        <w:t>wa</w:t>
      </w:r>
      <w:r w:rsidR="00CA3DCF" w:rsidRPr="00524718">
        <w:t>s calculated as the concentration corresponding to this 3</w:t>
      </w:r>
      <w:r w:rsidR="00CA3DCF" w:rsidRPr="00524718">
        <w:rPr>
          <w:rFonts w:ascii="Symbol" w:eastAsia="Symbol" w:hAnsi="Symbol" w:cs="Symbol"/>
        </w:rPr>
        <w:t>s</w:t>
      </w:r>
      <w:r w:rsidR="00CA3DCF" w:rsidRPr="00524718">
        <w:t xml:space="preserve"> noise limit and is represented by the width of the shaded area.</w:t>
      </w:r>
    </w:p>
    <w:p w14:paraId="2BDED842" w14:textId="0AFD7430" w:rsidR="006839E4" w:rsidRDefault="0057279D" w:rsidP="006839E4">
      <w:r>
        <w:rPr>
          <w:noProof/>
        </w:rPr>
        <w:lastRenderedPageBreak/>
        <w:drawing>
          <wp:inline distT="0" distB="0" distL="0" distR="0" wp14:anchorId="385EFB6D" wp14:editId="3BA94D51">
            <wp:extent cx="5943600" cy="5283200"/>
            <wp:effectExtent l="0" t="0" r="0" b="0"/>
            <wp:docPr id="76457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7238"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943600" cy="5283200"/>
                    </a:xfrm>
                    <a:prstGeom prst="rect">
                      <a:avLst/>
                    </a:prstGeom>
                  </pic:spPr>
                </pic:pic>
              </a:graphicData>
            </a:graphic>
          </wp:inline>
        </w:drawing>
      </w:r>
    </w:p>
    <w:p w14:paraId="7203638F" w14:textId="2846D778" w:rsidR="006839E4" w:rsidRPr="00EF3B47" w:rsidRDefault="00EF3B47" w:rsidP="00EF3B47">
      <w:pPr>
        <w:pStyle w:val="VAFigureCaption"/>
      </w:pPr>
      <w:bookmarkStart w:id="28" w:name="_Ref216342291"/>
      <w:r>
        <w:t xml:space="preserve">Figure </w:t>
      </w:r>
      <w:r>
        <w:fldChar w:fldCharType="begin"/>
      </w:r>
      <w:r>
        <w:instrText>SEQ Figure \* ARABIC</w:instrText>
      </w:r>
      <w:r>
        <w:fldChar w:fldCharType="separate"/>
      </w:r>
      <w:r w:rsidR="00575B3D">
        <w:rPr>
          <w:noProof/>
        </w:rPr>
        <w:t>3</w:t>
      </w:r>
      <w:r>
        <w:fldChar w:fldCharType="end"/>
      </w:r>
      <w:bookmarkEnd w:id="28"/>
      <w:r w:rsidR="00F111B4">
        <w:t xml:space="preserve">: </w:t>
      </w:r>
      <w:commentRangeStart w:id="29"/>
      <w:r w:rsidR="00F111B4">
        <w:t>absor</w:t>
      </w:r>
      <w:r w:rsidR="003A6E16">
        <w:t xml:space="preserve">bance spectra </w:t>
      </w:r>
      <w:commentRangeEnd w:id="29"/>
      <w:r w:rsidR="004A3245">
        <w:rPr>
          <w:rStyle w:val="CommentReference"/>
        </w:rPr>
        <w:commentReference w:id="29"/>
      </w:r>
      <w:r w:rsidR="003A6E16">
        <w:t xml:space="preserve">for multiple concentrations of </w:t>
      </w:r>
      <w:r w:rsidR="00E84941">
        <w:t>extracted p</w:t>
      </w:r>
      <w:r w:rsidR="00C17F6B">
        <w:t>henytoin.</w:t>
      </w:r>
      <w:r w:rsidR="0087458E">
        <w:t xml:space="preserve"> Each subplot represents a different waveguide corresponding to a different </w:t>
      </w:r>
      <w:r w:rsidR="0087458E" w:rsidRPr="00726605">
        <w:t>interaction length</w:t>
      </w:r>
      <w:r w:rsidR="00856688" w:rsidRPr="00726605">
        <w:t xml:space="preserve"> </w:t>
      </w:r>
      <w:r w:rsidR="00856688" w:rsidRPr="00726605">
        <w:rPr>
          <w:i/>
          <w:iCs/>
        </w:rPr>
        <w:t>l</w:t>
      </w:r>
      <w:commentRangeStart w:id="30"/>
      <w:r w:rsidR="0087458E" w:rsidRPr="00726605">
        <w:t>.</w:t>
      </w:r>
      <w:r w:rsidR="00D47DAC" w:rsidRPr="00726605">
        <w:t xml:space="preserve"> </w:t>
      </w:r>
      <w:commentRangeEnd w:id="30"/>
      <w:r w:rsidR="00FF2BB6" w:rsidRPr="00726605">
        <w:rPr>
          <w:rStyle w:val="CommentReference"/>
          <w:sz w:val="24"/>
          <w:szCs w:val="20"/>
        </w:rPr>
        <w:commentReference w:id="30"/>
      </w:r>
      <w:r w:rsidR="00D47DAC" w:rsidRPr="00726605">
        <w:t>Error</w:t>
      </w:r>
      <w:r w:rsidR="00D47DAC">
        <w:t xml:space="preserve"> bars represent </w:t>
      </w:r>
      <w:r w:rsidR="00D546EF">
        <w:rPr>
          <w:rFonts w:ascii="Symbol" w:eastAsia="Symbol" w:hAnsi="Symbol" w:cs="Symbol"/>
        </w:rPr>
        <w:t>±</w:t>
      </w:r>
      <w:r w:rsidR="00D47DAC">
        <w:t xml:space="preserve"> one standard deviation </w:t>
      </w:r>
      <w:r w:rsidR="0087458E">
        <w:t>from</w:t>
      </w:r>
      <w:r w:rsidR="00D47DAC">
        <w:t xml:space="preserve"> </w:t>
      </w:r>
      <w:r w:rsidR="005C5DFC">
        <w:t xml:space="preserve">measurements of </w:t>
      </w:r>
      <w:commentRangeStart w:id="31"/>
      <w:r w:rsidR="005C5DFC">
        <w:t xml:space="preserve">multiple </w:t>
      </w:r>
      <w:commentRangeEnd w:id="31"/>
      <w:r w:rsidR="00E6281C">
        <w:rPr>
          <w:rStyle w:val="CommentReference"/>
          <w:sz w:val="24"/>
          <w:szCs w:val="20"/>
        </w:rPr>
        <w:commentReference w:id="31"/>
      </w:r>
      <w:r w:rsidR="005C5DFC">
        <w:t>aliquots.</w:t>
      </w:r>
      <w:r w:rsidR="00F75A14">
        <w:t xml:space="preserve"> The </w:t>
      </w:r>
      <w:r w:rsidR="00624E2D">
        <w:t>zero-concentration</w:t>
      </w:r>
      <w:r w:rsidR="00F75A14">
        <w:t xml:space="preserve"> trace represents blank measurements where the extraction protocol was applied to serum that had not had any phenytoin added.</w:t>
      </w:r>
      <w:r w:rsidR="007A1A7F">
        <w:t xml:space="preserve"> The gray shaded regions </w:t>
      </w:r>
      <w:r w:rsidR="00A42397">
        <w:t xml:space="preserve">show interference from atmospheric water </w:t>
      </w:r>
      <w:r w:rsidR="00930116">
        <w:t>vapor</w:t>
      </w:r>
      <w:r w:rsidR="00A42397">
        <w:t xml:space="preserve"> and are excluded from the subsequent AUC calculation.</w:t>
      </w:r>
    </w:p>
    <w:p w14:paraId="5F2FA612" w14:textId="460AA365" w:rsidR="006839E4" w:rsidRDefault="00B13F4E" w:rsidP="006839E4">
      <w:r>
        <w:rPr>
          <w:noProof/>
        </w:rPr>
        <w:lastRenderedPageBreak/>
        <w:drawing>
          <wp:inline distT="0" distB="0" distL="0" distR="0" wp14:anchorId="212B2239" wp14:editId="1032C27F">
            <wp:extent cx="5943600" cy="5283200"/>
            <wp:effectExtent l="0" t="0" r="0" b="0"/>
            <wp:docPr id="21307856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785606" name="Picture 2130785606"/>
                    <pic:cNvPicPr/>
                  </pic:nvPicPr>
                  <pic:blipFill>
                    <a:blip r:embed="rId19">
                      <a:extLst>
                        <a:ext uri="{28A0092B-C50C-407E-A947-70E740481C1C}">
                          <a14:useLocalDpi xmlns:a14="http://schemas.microsoft.com/office/drawing/2010/main" val="0"/>
                        </a:ext>
                      </a:extLst>
                    </a:blip>
                    <a:stretch>
                      <a:fillRect/>
                    </a:stretch>
                  </pic:blipFill>
                  <pic:spPr>
                    <a:xfrm>
                      <a:off x="0" y="0"/>
                      <a:ext cx="5943600" cy="5283200"/>
                    </a:xfrm>
                    <a:prstGeom prst="rect">
                      <a:avLst/>
                    </a:prstGeom>
                  </pic:spPr>
                </pic:pic>
              </a:graphicData>
            </a:graphic>
          </wp:inline>
        </w:drawing>
      </w:r>
    </w:p>
    <w:p w14:paraId="13AEF2BF" w14:textId="44E20EA7" w:rsidR="00F03503" w:rsidRDefault="00F03503" w:rsidP="00F03503">
      <w:pPr>
        <w:pStyle w:val="VAFigureCaption"/>
      </w:pPr>
      <w:bookmarkStart w:id="32" w:name="_Ref216342379"/>
      <w:r>
        <w:t xml:space="preserve">Figure </w:t>
      </w:r>
      <w:r>
        <w:fldChar w:fldCharType="begin"/>
      </w:r>
      <w:r>
        <w:instrText>SEQ Figure \* ARABIC</w:instrText>
      </w:r>
      <w:r>
        <w:fldChar w:fldCharType="separate"/>
      </w:r>
      <w:r w:rsidR="00575B3D">
        <w:rPr>
          <w:noProof/>
        </w:rPr>
        <w:t>4</w:t>
      </w:r>
      <w:r>
        <w:fldChar w:fldCharType="end"/>
      </w:r>
      <w:bookmarkEnd w:id="32"/>
      <w:r>
        <w:t xml:space="preserve">: </w:t>
      </w:r>
      <w:r w:rsidR="00EE46DF">
        <w:t xml:space="preserve">AUC </w:t>
      </w:r>
      <w:r w:rsidR="004126B7">
        <w:t xml:space="preserve">with respect to concentration </w:t>
      </w:r>
      <w:r w:rsidR="00EF5C70">
        <w:t>for</w:t>
      </w:r>
      <w:r w:rsidR="006D2B19">
        <w:t xml:space="preserve"> extracted </w:t>
      </w:r>
      <w:r w:rsidR="00EF5C70">
        <w:t>phenytoin</w:t>
      </w:r>
      <w:r w:rsidR="00571C30">
        <w:t xml:space="preserve">. Each subplot represents a different waveguide corresponding to a different interaction length. Error bars represent </w:t>
      </w:r>
      <w:r w:rsidR="00571C30">
        <w:rPr>
          <w:rFonts w:ascii="Symbol" w:eastAsia="Symbol" w:hAnsi="Symbol" w:cs="Symbol"/>
        </w:rPr>
        <w:t>±</w:t>
      </w:r>
      <w:r w:rsidR="00571C30">
        <w:t xml:space="preserve"> one standard deviation from measurements of multiple aliquots. </w:t>
      </w:r>
      <w:r w:rsidR="00CA3DCF">
        <w:t>The shaded area represents the 3</w:t>
      </w:r>
      <w:r w:rsidR="00CA3DCF">
        <w:rPr>
          <w:rFonts w:ascii="Symbol" w:eastAsia="Symbol" w:hAnsi="Symbol" w:cs="Symbol"/>
        </w:rPr>
        <w:t>s</w:t>
      </w:r>
      <w:r w:rsidR="00CA3DCF">
        <w:t xml:space="preserve"> noise limit. </w:t>
      </w:r>
      <w:r w:rsidR="00571C30">
        <w:t>The limit of detection (</w:t>
      </w:r>
      <w:proofErr w:type="spellStart"/>
      <w:r w:rsidR="00571C30">
        <w:t>LoD</w:t>
      </w:r>
      <w:proofErr w:type="spellEnd"/>
      <w:r w:rsidR="00CA3DCF">
        <w:t>; the width of the shaded area</w:t>
      </w:r>
      <w:r w:rsidR="00571C30">
        <w:t xml:space="preserve">) is calculated as the concentration corresponding to </w:t>
      </w:r>
      <w:r w:rsidR="006E5C81">
        <w:t xml:space="preserve">an </w:t>
      </w:r>
      <w:commentRangeStart w:id="33"/>
      <w:r w:rsidR="006E5C81">
        <w:t xml:space="preserve">AUC </w:t>
      </w:r>
      <w:commentRangeEnd w:id="33"/>
      <w:r w:rsidR="00717A04">
        <w:rPr>
          <w:rStyle w:val="CommentReference"/>
          <w:sz w:val="24"/>
          <w:szCs w:val="20"/>
        </w:rPr>
        <w:commentReference w:id="33"/>
      </w:r>
      <w:r w:rsidR="006E5C81">
        <w:t>equal to three times the standard deviation of the blank measurement</w:t>
      </w:r>
      <w:r w:rsidR="00CA3DCF">
        <w:t xml:space="preserve"> (the height of the shaded area)</w:t>
      </w:r>
      <w:r w:rsidR="006E5C81">
        <w:t>.</w:t>
      </w:r>
    </w:p>
    <w:p w14:paraId="7DD4BE8D" w14:textId="14FDB117" w:rsidR="00D44244" w:rsidRPr="00E945BF" w:rsidRDefault="008A4A5D" w:rsidP="00BF61B6">
      <w:pPr>
        <w:pStyle w:val="TAMainText"/>
      </w:pPr>
      <w:r w:rsidRPr="009B6F2B">
        <w:fldChar w:fldCharType="begin"/>
      </w:r>
      <w:r w:rsidRPr="009B6F2B">
        <w:instrText xml:space="preserve"> REF _Ref216342379 \h </w:instrText>
      </w:r>
      <w:r w:rsidR="00BF61B6" w:rsidRPr="009B6F2B">
        <w:instrText xml:space="preserve"> \* MERGEFORMAT </w:instrText>
      </w:r>
      <w:r w:rsidRPr="009B6F2B">
        <w:fldChar w:fldCharType="separate"/>
      </w:r>
      <w:r w:rsidR="00575B3D" w:rsidRPr="009B6F2B">
        <w:t xml:space="preserve">Figure </w:t>
      </w:r>
      <w:r w:rsidR="00575B3D" w:rsidRPr="009B6F2B">
        <w:rPr>
          <w:noProof/>
        </w:rPr>
        <w:t>4</w:t>
      </w:r>
      <w:r w:rsidRPr="009B6F2B">
        <w:fldChar w:fldCharType="end"/>
      </w:r>
      <w:r w:rsidRPr="009B6F2B">
        <w:t xml:space="preserve"> </w:t>
      </w:r>
      <w:r w:rsidR="00CF4129" w:rsidRPr="009B6F2B">
        <w:t>shows that the lowest observed limit of detection is 2.20 mg/L, which lies below the therapeutic range of 10–20 mg/L. Across the full tested range, no saturation of the AUC–</w:t>
      </w:r>
      <w:r w:rsidR="00CF4129" w:rsidRPr="009B6F2B">
        <w:lastRenderedPageBreak/>
        <w:t xml:space="preserve">concentration response is observed; concentrations above 20 mg/L continue to yield a clear, monotonic increase in AUC, supporting reliable quantification </w:t>
      </w:r>
      <w:r w:rsidR="00F54155" w:rsidRPr="009B6F2B">
        <w:t xml:space="preserve">both throughout and </w:t>
      </w:r>
      <w:r w:rsidR="0006077C" w:rsidRPr="009B6F2B">
        <w:t>above</w:t>
      </w:r>
      <w:r w:rsidR="00CF4129" w:rsidRPr="009B6F2B">
        <w:t xml:space="preserve"> the therapeutic window</w:t>
      </w:r>
      <w:r w:rsidR="00F54155" w:rsidRPr="009B6F2B">
        <w:t xml:space="preserve"> as well</w:t>
      </w:r>
      <w:r w:rsidR="00CF4129" w:rsidRPr="009B6F2B">
        <w:t>.</w:t>
      </w:r>
    </w:p>
    <w:p w14:paraId="2BA8FFE7" w14:textId="77777777" w:rsidR="00524718" w:rsidRDefault="00524718" w:rsidP="00B467D9">
      <w:pPr>
        <w:pStyle w:val="TAMainText"/>
        <w:ind w:firstLine="0"/>
      </w:pPr>
    </w:p>
    <w:p w14:paraId="6C4424E9" w14:textId="02198C43" w:rsidR="00EF5F80" w:rsidRDefault="005769FE" w:rsidP="00B467D9">
      <w:pPr>
        <w:pStyle w:val="TAMainText"/>
        <w:ind w:firstLine="0"/>
      </w:pPr>
      <w:r>
        <w:t>DISCUSSION</w:t>
      </w:r>
      <w:r w:rsidR="00C10EE0">
        <w:t xml:space="preserve"> </w:t>
      </w:r>
      <w:r w:rsidR="009D2180">
        <w:fldChar w:fldCharType="begin"/>
      </w:r>
      <w:r w:rsidR="009D2180">
        <w:instrText xml:space="preserve"> REF _Ref216342379 \h </w:instrText>
      </w:r>
      <w:r w:rsidR="009D2180">
        <w:fldChar w:fldCharType="separate"/>
      </w:r>
      <w:r w:rsidR="00575B3D">
        <w:t xml:space="preserve">Figure </w:t>
      </w:r>
      <w:r w:rsidR="00575B3D">
        <w:rPr>
          <w:noProof/>
        </w:rPr>
        <w:t>4</w:t>
      </w:r>
      <w:r w:rsidR="009D2180">
        <w:fldChar w:fldCharType="end"/>
      </w:r>
      <w:r w:rsidR="009D2180">
        <w:t xml:space="preserve"> shows optimum performance for </w:t>
      </w:r>
      <w:r w:rsidR="00872863">
        <w:t xml:space="preserve">detecting extracted phenytoin using the shortest two interactions lengths (waveguides 6 and 8) in terms of </w:t>
      </w:r>
      <w:r w:rsidR="003259C0">
        <w:t xml:space="preserve">limit of detection, sample error and measurement noise. </w:t>
      </w:r>
      <w:commentRangeStart w:id="34"/>
      <w:r w:rsidR="00EF5F80" w:rsidRPr="003C5B3D">
        <w:rPr>
          <w:highlight w:val="yellow"/>
        </w:rPr>
        <w:t xml:space="preserve">The best </w:t>
      </w:r>
      <w:proofErr w:type="spellStart"/>
      <w:r w:rsidR="00E114A4" w:rsidRPr="003C5B3D">
        <w:rPr>
          <w:highlight w:val="yellow"/>
        </w:rPr>
        <w:t>LoD</w:t>
      </w:r>
      <w:proofErr w:type="spellEnd"/>
      <w:r w:rsidR="00E114A4" w:rsidRPr="003C5B3D">
        <w:rPr>
          <w:highlight w:val="yellow"/>
        </w:rPr>
        <w:t xml:space="preserve"> is 2.20 mg/L, which is significantly lower than the therapeutic window of 10 – 20 mg/L for phenytoin and suggests that this method would be appropriately sensitive for TDM in cases where a patient is underdosed, which is clinically more likely than the patient having too high a dose</w:t>
      </w:r>
      <w:r w:rsidR="00E114A4" w:rsidRPr="00414DA0">
        <w:t xml:space="preserve">. </w:t>
      </w:r>
      <w:commentRangeEnd w:id="34"/>
      <w:r w:rsidR="004A3245" w:rsidRPr="00414DA0">
        <w:rPr>
          <w:rStyle w:val="CommentReference"/>
        </w:rPr>
        <w:commentReference w:id="34"/>
      </w:r>
      <w:r w:rsidR="00DA4037" w:rsidRPr="00414DA0">
        <w:t xml:space="preserve">While the low </w:t>
      </w:r>
      <w:proofErr w:type="spellStart"/>
      <w:r w:rsidR="00DA4037" w:rsidRPr="00414DA0">
        <w:t>LoD</w:t>
      </w:r>
      <w:proofErr w:type="spellEnd"/>
      <w:r w:rsidR="00DA4037" w:rsidRPr="00414DA0">
        <w:t xml:space="preserve"> is particularly relevant for identifying sub‑therapeutic concentrations, the maintained dose–response up to 40 mg/L also indicates that </w:t>
      </w:r>
      <w:r w:rsidR="00F267C8" w:rsidRPr="00414DA0">
        <w:t xml:space="preserve">normal and </w:t>
      </w:r>
      <w:r w:rsidR="00DA4037" w:rsidRPr="00414DA0">
        <w:t xml:space="preserve">supra‑therapeutic levels can </w:t>
      </w:r>
      <w:r w:rsidR="00F267C8" w:rsidRPr="00414DA0">
        <w:t xml:space="preserve">also </w:t>
      </w:r>
      <w:r w:rsidR="00DA4037" w:rsidRPr="00414DA0">
        <w:t>be quantified.</w:t>
      </w:r>
    </w:p>
    <w:p w14:paraId="343EC5A6" w14:textId="04026E0A" w:rsidR="00524718" w:rsidRDefault="003259C0" w:rsidP="00EF5F80">
      <w:pPr>
        <w:pStyle w:val="TAMainText"/>
      </w:pPr>
      <w:r w:rsidRPr="003729CB">
        <w:t xml:space="preserve">The </w:t>
      </w:r>
      <w:commentRangeStart w:id="35"/>
      <w:r w:rsidRPr="003729CB">
        <w:t>s</w:t>
      </w:r>
      <w:r w:rsidR="00672F06" w:rsidRPr="003729CB">
        <w:t>ample error increases with concentration</w:t>
      </w:r>
      <w:commentRangeEnd w:id="35"/>
      <w:r w:rsidR="004A3245">
        <w:rPr>
          <w:rStyle w:val="CommentReference"/>
        </w:rPr>
        <w:commentReference w:id="35"/>
      </w:r>
      <w:r w:rsidRPr="003729CB">
        <w:t>, which suggests that</w:t>
      </w:r>
      <w:r w:rsidR="00672F06" w:rsidRPr="003729CB">
        <w:t xml:space="preserve"> accuracy is a </w:t>
      </w:r>
      <w:r w:rsidR="00672F06" w:rsidRPr="007E023E">
        <w:t>constant percentage of concentration.</w:t>
      </w:r>
      <w:r w:rsidR="003729CB" w:rsidRPr="007E023E">
        <w:t xml:space="preserve"> The </w:t>
      </w:r>
      <w:commentRangeStart w:id="36"/>
      <w:r w:rsidR="003729CB" w:rsidRPr="007E023E">
        <w:t xml:space="preserve">gradient of the fit line </w:t>
      </w:r>
      <w:r w:rsidR="00672F06" w:rsidRPr="007E023E">
        <w:t>is virtually identical for all waveguides</w:t>
      </w:r>
      <w:commentRangeEnd w:id="36"/>
      <w:r w:rsidR="004A3245">
        <w:rPr>
          <w:rStyle w:val="CommentReference"/>
        </w:rPr>
        <w:commentReference w:id="36"/>
      </w:r>
      <w:r w:rsidR="00672F06" w:rsidRPr="007E023E">
        <w:t>, suggesting the interaction length is not varying</w:t>
      </w:r>
      <w:r w:rsidR="001A232C" w:rsidRPr="007E023E">
        <w:t xml:space="preserve"> where typically one would expect </w:t>
      </w:r>
      <w:r w:rsidR="00307DAA" w:rsidRPr="007E023E">
        <w:t>a larger gradient for an</w:t>
      </w:r>
      <w:r w:rsidR="008B32AA" w:rsidRPr="007E023E">
        <w:t xml:space="preserve"> increased interaction length for a given concentration</w:t>
      </w:r>
      <w:r w:rsidR="00B467D9" w:rsidRPr="007E023E">
        <w:t xml:space="preserve">. </w:t>
      </w:r>
      <w:r w:rsidR="008B32AA" w:rsidRPr="007E023E">
        <w:t>T</w:t>
      </w:r>
      <w:r w:rsidR="00B467D9" w:rsidRPr="007E023E">
        <w:t xml:space="preserve">his is likely due to </w:t>
      </w:r>
      <w:r w:rsidR="006D7731" w:rsidRPr="007E023E">
        <w:t xml:space="preserve">imperfect </w:t>
      </w:r>
      <w:r w:rsidR="00EC3F84" w:rsidRPr="007E023E">
        <w:t>fluid control by</w:t>
      </w:r>
      <w:r w:rsidR="006D7731" w:rsidRPr="007E023E">
        <w:t xml:space="preserve"> the confinement trench</w:t>
      </w:r>
      <w:r w:rsidR="00E60A5D" w:rsidRPr="007E023E">
        <w:t xml:space="preserve">. </w:t>
      </w:r>
    </w:p>
    <w:p w14:paraId="299E3B70" w14:textId="619D0D75" w:rsidR="00BC745C" w:rsidRDefault="004255E6" w:rsidP="00BC46F9">
      <w:pPr>
        <w:pStyle w:val="TAMainText"/>
        <w:rPr>
          <w:highlight w:val="yellow"/>
        </w:rPr>
      </w:pPr>
      <w:r w:rsidRPr="007E023E">
        <w:t xml:space="preserve">This aligns with experimental observations that the confinement trench is much less effective at </w:t>
      </w:r>
      <w:r w:rsidR="006A718A" w:rsidRPr="007E023E">
        <w:t xml:space="preserve">controlling the spread of liquids with low contact </w:t>
      </w:r>
      <w:r w:rsidR="00624E2D" w:rsidRPr="007E023E">
        <w:t>angles</w:t>
      </w:r>
      <w:r w:rsidR="006A718A" w:rsidRPr="007E023E">
        <w:t xml:space="preserve"> such as ethyl acetate compared to those with higher contact angles such as </w:t>
      </w:r>
      <w:r w:rsidR="00801182" w:rsidRPr="007E023E">
        <w:t>water</w:t>
      </w:r>
      <w:r w:rsidR="0093206F" w:rsidRPr="007E023E">
        <w:t xml:space="preserve">, where droplet pinning is </w:t>
      </w:r>
      <w:r w:rsidR="00E50523" w:rsidRPr="007E023E">
        <w:t xml:space="preserve">much </w:t>
      </w:r>
      <w:r w:rsidR="00DB2B4D" w:rsidRPr="007E023E">
        <w:t>stronger</w:t>
      </w:r>
      <w:r w:rsidR="00801182" w:rsidRPr="007E023E">
        <w:t>.</w:t>
      </w:r>
      <w:r w:rsidR="004E246F" w:rsidRPr="007E023E">
        <w:t xml:space="preserve"> In particular, the confinement trench does not prevent </w:t>
      </w:r>
      <w:r w:rsidR="00624E2D" w:rsidRPr="007E023E">
        <w:t>solvents</w:t>
      </w:r>
      <w:r w:rsidR="004E246F" w:rsidRPr="007E023E">
        <w:t xml:space="preserve"> from wicking along </w:t>
      </w:r>
      <w:r w:rsidR="0093206F" w:rsidRPr="007E023E">
        <w:t>the waveguides themselves</w:t>
      </w:r>
      <w:r w:rsidR="00DB2B4D" w:rsidRPr="007E023E">
        <w:t xml:space="preserve">. </w:t>
      </w:r>
      <w:r w:rsidR="006870E5" w:rsidRPr="007E023E">
        <w:t>This would explain why the light-sample interaction appears the same between all the waveguides</w:t>
      </w:r>
      <w:r w:rsidR="00126C16" w:rsidRPr="007E023E">
        <w:t xml:space="preserve"> and suggests that more sophisticated sample control is required for low contact angle samples. </w:t>
      </w:r>
      <w:r w:rsidR="00126C16" w:rsidRPr="007E023E">
        <w:lastRenderedPageBreak/>
        <w:t xml:space="preserve">Suitable solutions could be </w:t>
      </w:r>
      <w:r w:rsidR="00705B16" w:rsidRPr="007E023E">
        <w:t>mid-IR transparent claddings, where a window could be etched in the cladding to expose the desired length of waveguide</w:t>
      </w:r>
      <w:r w:rsidR="007E023E" w:rsidRPr="007E023E">
        <w:t>, or microfluidic integration where a flow cell is bonded on top of the photonic chip.</w:t>
      </w:r>
    </w:p>
    <w:p w14:paraId="323F8FB6" w14:textId="142AC024" w:rsidR="00E114A4" w:rsidRDefault="00524718" w:rsidP="00EF5F80">
      <w:pPr>
        <w:pStyle w:val="TAMainText"/>
      </w:pPr>
      <w:commentRangeStart w:id="37"/>
      <w:r w:rsidRPr="00BC46F9">
        <w:t>The 3</w:t>
      </w:r>
      <w:r w:rsidRPr="00BC46F9">
        <w:rPr>
          <w:rFonts w:ascii="Symbol" w:eastAsia="Symbol" w:hAnsi="Symbol" w:cs="Symbol"/>
        </w:rPr>
        <w:t>s</w:t>
      </w:r>
      <w:r w:rsidRPr="00BC46F9">
        <w:t xml:space="preserve"> </w:t>
      </w:r>
      <w:r w:rsidR="00672F06" w:rsidRPr="00BC46F9">
        <w:t>measurement error</w:t>
      </w:r>
      <w:commentRangeEnd w:id="37"/>
      <w:r w:rsidR="00CD6ACB">
        <w:rPr>
          <w:rStyle w:val="CommentReference"/>
        </w:rPr>
        <w:commentReference w:id="37"/>
      </w:r>
      <w:r w:rsidRPr="00BC46F9">
        <w:t xml:space="preserve">, visually represented by the height of the shaded area in </w:t>
      </w:r>
      <w:r w:rsidRPr="00BC46F9">
        <w:fldChar w:fldCharType="begin"/>
      </w:r>
      <w:r w:rsidRPr="00BC46F9">
        <w:instrText xml:space="preserve"> REF _Ref216342379 \h </w:instrText>
      </w:r>
      <w:r w:rsidR="00BC46F9" w:rsidRPr="00BC46F9">
        <w:instrText xml:space="preserve"> \* MERGEFORMAT </w:instrText>
      </w:r>
      <w:r w:rsidRPr="00BC46F9">
        <w:fldChar w:fldCharType="separate"/>
      </w:r>
      <w:r w:rsidR="00575B3D">
        <w:t>Figure 4</w:t>
      </w:r>
      <w:r w:rsidRPr="00BC46F9">
        <w:fldChar w:fldCharType="end"/>
      </w:r>
      <w:r w:rsidRPr="00BC46F9">
        <w:t>,</w:t>
      </w:r>
      <w:r w:rsidR="00672F06" w:rsidRPr="00BC46F9">
        <w:t xml:space="preserve"> and </w:t>
      </w:r>
      <w:proofErr w:type="gramStart"/>
      <w:r w:rsidRPr="00BC46F9">
        <w:t xml:space="preserve">the </w:t>
      </w:r>
      <w:r w:rsidR="00672F06" w:rsidRPr="00BC46F9">
        <w:t>R</w:t>
      </w:r>
      <w:r w:rsidR="00672F06" w:rsidRPr="00EF5F80">
        <w:rPr>
          <w:vertAlign w:val="superscript"/>
        </w:rPr>
        <w:t>2</w:t>
      </w:r>
      <w:proofErr w:type="gramEnd"/>
      <w:r w:rsidR="00672F06" w:rsidRPr="00BC46F9">
        <w:t xml:space="preserve"> </w:t>
      </w:r>
      <w:r w:rsidRPr="00BC46F9">
        <w:t xml:space="preserve">value for the fit lines both </w:t>
      </w:r>
      <w:r w:rsidR="00672F06" w:rsidRPr="00BC46F9">
        <w:t>increase with waveguide length</w:t>
      </w:r>
      <w:r w:rsidRPr="00BC46F9">
        <w:t xml:space="preserve">. This suggests </w:t>
      </w:r>
      <w:r w:rsidR="00672F06" w:rsidRPr="00BC46F9">
        <w:t>there is greater variation in interaction length</w:t>
      </w:r>
      <w:r w:rsidRPr="00BC46F9">
        <w:t xml:space="preserve"> for the longer waveguides, </w:t>
      </w:r>
      <w:r w:rsidRPr="00EF5F80">
        <w:t>particularly waveguide 12</w:t>
      </w:r>
      <w:r w:rsidR="00EF5F80" w:rsidRPr="00EF5F80">
        <w:t>, where the error bars of two of the measurement points do not overlap with the fit li</w:t>
      </w:r>
      <w:r w:rsidR="00EF5F80" w:rsidRPr="00E114A4">
        <w:t>ne</w:t>
      </w:r>
      <w:r w:rsidRPr="00E114A4">
        <w:t xml:space="preserve">. </w:t>
      </w:r>
      <w:r w:rsidR="00E114A4" w:rsidRPr="00E114A4">
        <w:t xml:space="preserve">The fact that the </w:t>
      </w:r>
      <w:proofErr w:type="spellStart"/>
      <w:r w:rsidR="00E114A4" w:rsidRPr="00E114A4">
        <w:t>LoD</w:t>
      </w:r>
      <w:proofErr w:type="spellEnd"/>
      <w:r w:rsidR="00E114A4" w:rsidRPr="00E114A4">
        <w:t xml:space="preserve"> is lower for waveguide 12 compared to waveguide 10 is an artefact of the fit line being skewed by the 10 and 40 mg/L measurements.</w:t>
      </w:r>
    </w:p>
    <w:p w14:paraId="509D77C4" w14:textId="1EF9CC70" w:rsidR="00C96D28" w:rsidRDefault="49F1A4BC" w:rsidP="00EF5F80">
      <w:pPr>
        <w:pStyle w:val="TAMainText"/>
      </w:pPr>
      <w:r>
        <w:t>Th</w:t>
      </w:r>
      <w:r w:rsidR="7A2C7D23">
        <w:t xml:space="preserve">e increase in measurement </w:t>
      </w:r>
      <w:r w:rsidR="009F07E4">
        <w:t xml:space="preserve">variation with </w:t>
      </w:r>
      <w:r w:rsidR="7A2C7D23">
        <w:t xml:space="preserve">interaction length </w:t>
      </w:r>
      <w:r>
        <w:t xml:space="preserve">can be </w:t>
      </w:r>
      <w:r w:rsidR="009F07E4">
        <w:t xml:space="preserve">understood </w:t>
      </w:r>
      <w:r>
        <w:t xml:space="preserve">by considering </w:t>
      </w:r>
      <w:r w:rsidR="00012060" w:rsidRPr="00012060">
        <w:t>how the droplet dries within the nested waveguide layout</w:t>
      </w:r>
      <w:r w:rsidR="4AEE8DA5">
        <w:t>.</w:t>
      </w:r>
      <w:r>
        <w:t xml:space="preserve"> </w:t>
      </w:r>
      <w:r w:rsidR="00BE499A">
        <w:t>When t</w:t>
      </w:r>
      <w:r>
        <w:t xml:space="preserve">he sample is pipetted in the </w:t>
      </w:r>
      <w:r w:rsidR="00930116">
        <w:t>center</w:t>
      </w:r>
      <w:r>
        <w:t xml:space="preserve"> of the confinement trench</w:t>
      </w:r>
      <w:r w:rsidR="00BE499A">
        <w:t>, it</w:t>
      </w:r>
      <w:r>
        <w:t xml:space="preserve"> spreads to fill the </w:t>
      </w:r>
      <w:r w:rsidR="00BE499A">
        <w:t>sensing region</w:t>
      </w:r>
      <w:r>
        <w:t xml:space="preserve">. </w:t>
      </w:r>
      <w:r w:rsidR="00B22D09" w:rsidRPr="00B22D09">
        <w:t>During this process, the droplet encounters several waveguides, which guide its flow and create slight variations in how the sample distributes</w:t>
      </w:r>
      <w:r>
        <w:t xml:space="preserve">. </w:t>
      </w:r>
      <w:r w:rsidR="00CA1C47" w:rsidRPr="00CA1C47">
        <w:t>As the ethyl acetate evaporates</w:t>
      </w:r>
      <w:r w:rsidR="00F30101">
        <w:t xml:space="preserve">, </w:t>
      </w:r>
      <w:r w:rsidR="00CA1C47" w:rsidRPr="00CA1C47">
        <w:t xml:space="preserve">the analyte is deposited for measurement and characteristic drying phenomena such as the coffee‑ring effect shape </w:t>
      </w:r>
      <w:r w:rsidR="00E829C9">
        <w:t xml:space="preserve">its </w:t>
      </w:r>
      <w:r w:rsidR="00CA1C47" w:rsidRPr="00CA1C47">
        <w:t>final distribution</w:t>
      </w:r>
      <w:r>
        <w:t>. The shorter interaction length waveguides</w:t>
      </w:r>
      <w:r w:rsidR="00471B10">
        <w:t xml:space="preserve"> near</w:t>
      </w:r>
      <w:r>
        <w:t xml:space="preserve"> the </w:t>
      </w:r>
      <w:r w:rsidR="00930116">
        <w:t>center</w:t>
      </w:r>
      <w:r>
        <w:t xml:space="preserve"> of the nested array</w:t>
      </w:r>
      <w:r w:rsidR="00471B10" w:rsidRPr="00471B10">
        <w:t xml:space="preserve"> benefit most from this geometry, showing the lowest variation</w:t>
      </w:r>
      <w:r w:rsidR="393EEE04">
        <w:t xml:space="preserve">. </w:t>
      </w:r>
    </w:p>
    <w:p w14:paraId="1A56AFF8" w14:textId="25FA75A5" w:rsidR="006B6DBB" w:rsidRPr="006B6DBB" w:rsidRDefault="00F5632A" w:rsidP="006B6DBB">
      <w:pPr>
        <w:pStyle w:val="TAMainText"/>
      </w:pPr>
      <w:r w:rsidRPr="00F5632A">
        <w:t>Importantly, these observations highlight clear opportunities for further improvement. For example, replacing the nested geometry with</w:t>
      </w:r>
      <w:r w:rsidR="001261FD">
        <w:t xml:space="preserve"> </w:t>
      </w:r>
      <w:r w:rsidR="393EEE04">
        <w:t xml:space="preserve">straight waveguides, where the droplet could spread along </w:t>
      </w:r>
      <w:r w:rsidR="000104F9">
        <w:t xml:space="preserve">rather than across each </w:t>
      </w:r>
      <w:r w:rsidR="393EEE04">
        <w:t>waveguide</w:t>
      </w:r>
      <w:r w:rsidR="000104F9">
        <w:t xml:space="preserve">, </w:t>
      </w:r>
      <w:r w:rsidR="00DE3143">
        <w:t xml:space="preserve">would </w:t>
      </w:r>
      <w:r w:rsidR="000104F9" w:rsidRPr="000104F9">
        <w:t>support more uniform deposition</w:t>
      </w:r>
      <w:r w:rsidR="00632714">
        <w:t>.</w:t>
      </w:r>
      <w:r w:rsidR="393EEE04">
        <w:t xml:space="preserve"> </w:t>
      </w:r>
      <w:r w:rsidR="00632714">
        <w:t xml:space="preserve">Introducing </w:t>
      </w:r>
      <w:r w:rsidR="393EEE04">
        <w:t>a mid-IR transparent cladding material</w:t>
      </w:r>
      <w:r w:rsidR="00CE7CAF" w:rsidRPr="00CE7CAF">
        <w:rPr>
          <w:rFonts w:ascii="Segoe UI" w:hAnsi="Segoe UI" w:cs="Segoe UI"/>
          <w:sz w:val="21"/>
          <w:szCs w:val="21"/>
        </w:rPr>
        <w:t xml:space="preserve"> </w:t>
      </w:r>
      <w:r w:rsidR="00CE7CAF" w:rsidRPr="00CE7CAF">
        <w:t>to define a dedicated fluid cavity</w:t>
      </w:r>
      <w:r w:rsidR="393EEE04">
        <w:t xml:space="preserve"> would mean the sample boundary is </w:t>
      </w:r>
      <w:r w:rsidR="00ED292F" w:rsidRPr="00ED292F">
        <w:t>precisely set by design</w:t>
      </w:r>
      <w:r w:rsidR="00ED292F">
        <w:t xml:space="preserve"> </w:t>
      </w:r>
      <w:r w:rsidR="393EEE04">
        <w:t xml:space="preserve">rather than </w:t>
      </w:r>
      <w:r w:rsidR="00ED292F">
        <w:t xml:space="preserve">by </w:t>
      </w:r>
      <w:r w:rsidR="393EEE04">
        <w:t xml:space="preserve">droplet </w:t>
      </w:r>
      <w:r w:rsidR="00ED292F">
        <w:t>shape</w:t>
      </w:r>
      <w:r w:rsidR="4DEDBA07">
        <w:t>.</w:t>
      </w:r>
      <w:r w:rsidR="0F3C3265">
        <w:t xml:space="preserve"> </w:t>
      </w:r>
      <w:r w:rsidR="00741E67" w:rsidRPr="00741E67">
        <w:t>Completely flooding such a cavity would naturally enhance sample uniformity</w:t>
      </w:r>
      <w:r w:rsidR="00741E67">
        <w:t xml:space="preserve"> </w:t>
      </w:r>
      <w:r w:rsidR="057DA64B">
        <w:t xml:space="preserve">because it </w:t>
      </w:r>
      <w:r w:rsidR="0C056482">
        <w:t xml:space="preserve">would </w:t>
      </w:r>
      <w:r w:rsidR="057DA64B">
        <w:t>introduce pinning at the cavity edge</w:t>
      </w:r>
      <w:r w:rsidR="24A2667D">
        <w:t xml:space="preserve">, </w:t>
      </w:r>
      <w:r w:rsidR="24A2667D">
        <w:lastRenderedPageBreak/>
        <w:t>suppress</w:t>
      </w:r>
      <w:r w:rsidR="0C056482">
        <w:t>ing</w:t>
      </w:r>
      <w:r w:rsidR="24A2667D">
        <w:t xml:space="preserve"> radial capillary flow</w:t>
      </w:r>
      <w:r w:rsidR="363F92D8">
        <w:t xml:space="preserve"> and mak</w:t>
      </w:r>
      <w:r w:rsidR="0C056482">
        <w:t>ing</w:t>
      </w:r>
      <w:r w:rsidR="363F92D8">
        <w:t xml:space="preserve"> evaporat</w:t>
      </w:r>
      <w:r w:rsidR="0D6BED1A">
        <w:t>iv</w:t>
      </w:r>
      <w:r w:rsidR="363F92D8">
        <w:t>e flux more uniform</w:t>
      </w:r>
      <w:r w:rsidR="24A2667D">
        <w:t>.</w:t>
      </w:r>
      <w:commentRangeStart w:id="38"/>
      <w:commentRangeEnd w:id="38"/>
      <w:r w:rsidR="00BC46F9">
        <w:rPr>
          <w:rStyle w:val="CommentReference"/>
        </w:rPr>
        <w:commentReference w:id="38"/>
      </w:r>
      <w:r w:rsidR="006B6DBB">
        <w:t xml:space="preserve"> </w:t>
      </w:r>
      <w:r w:rsidR="006B6DBB" w:rsidRPr="006B6DBB">
        <w:t xml:space="preserve">Together, these refinements offer a straightforward route to </w:t>
      </w:r>
      <w:r w:rsidR="003A0763">
        <w:t xml:space="preserve">improved </w:t>
      </w:r>
      <w:r w:rsidR="006B6DBB" w:rsidRPr="006B6DBB">
        <w:t xml:space="preserve">measurement </w:t>
      </w:r>
      <w:r w:rsidR="003A0763">
        <w:t>repeatability</w:t>
      </w:r>
      <w:r w:rsidR="006B6DBB" w:rsidRPr="006B6DBB">
        <w:t>.</w:t>
      </w:r>
    </w:p>
    <w:p w14:paraId="483264B6" w14:textId="1F6ADDF4" w:rsidR="00743364" w:rsidRDefault="001A303F" w:rsidP="001A303F">
      <w:pPr>
        <w:pStyle w:val="TAMainText"/>
      </w:pPr>
      <w:r>
        <w:t xml:space="preserve">The main factor </w:t>
      </w:r>
      <w:r w:rsidR="007D4FF9">
        <w:t xml:space="preserve">limiting the </w:t>
      </w:r>
      <w:proofErr w:type="spellStart"/>
      <w:r w:rsidR="007D4FF9">
        <w:t>LoD</w:t>
      </w:r>
      <w:proofErr w:type="spellEnd"/>
      <w:r w:rsidR="007D4FF9">
        <w:t xml:space="preserve"> </w:t>
      </w:r>
      <w:r>
        <w:t>is interaction length</w:t>
      </w:r>
      <w:r w:rsidR="004F02EC">
        <w:t xml:space="preserve">: generally, the longer the interaction length for a given mode profile, </w:t>
      </w:r>
      <w:r w:rsidR="00825D9A">
        <w:t>the larger the measured absorbance.</w:t>
      </w:r>
      <w:r w:rsidR="006733CA">
        <w:t xml:space="preserve"> </w:t>
      </w:r>
      <w:r w:rsidR="006F658F">
        <w:t>Longer interaction lengths would</w:t>
      </w:r>
      <w:r w:rsidR="006E4585">
        <w:t xml:space="preserve"> increase the gradient of the AUC-concentration response and so increase the </w:t>
      </w:r>
      <w:proofErr w:type="spellStart"/>
      <w:r w:rsidR="006E4585">
        <w:t>LoD</w:t>
      </w:r>
      <w:proofErr w:type="spellEnd"/>
      <w:r w:rsidR="006E4585">
        <w:t xml:space="preserve"> </w:t>
      </w:r>
      <w:proofErr w:type="gramStart"/>
      <w:r w:rsidR="006E4585">
        <w:t xml:space="preserve">for </w:t>
      </w:r>
      <w:r w:rsidR="00583700">
        <w:t>given</w:t>
      </w:r>
      <w:proofErr w:type="gramEnd"/>
      <w:r w:rsidR="00583700">
        <w:t xml:space="preserve"> noise performance.</w:t>
      </w:r>
      <w:r w:rsidR="00825D9A">
        <w:t xml:space="preserve"> </w:t>
      </w:r>
      <w:r w:rsidR="002940E2">
        <w:t xml:space="preserve">Future work should include </w:t>
      </w:r>
      <w:r w:rsidR="00CD6DEA">
        <w:t>a longer range of interaction lengths, together with a cavity for</w:t>
      </w:r>
      <w:r w:rsidR="00D225BC">
        <w:t xml:space="preserve"> liquid confinement</w:t>
      </w:r>
      <w:r w:rsidR="00455B21">
        <w:t xml:space="preserve">, which would enable the interaction length to be </w:t>
      </w:r>
      <w:r w:rsidR="00930116">
        <w:t>optimized</w:t>
      </w:r>
      <w:r w:rsidR="00455B21">
        <w:t xml:space="preserve"> for </w:t>
      </w:r>
      <w:proofErr w:type="spellStart"/>
      <w:r w:rsidR="00455B21">
        <w:t>LoD</w:t>
      </w:r>
      <w:proofErr w:type="spellEnd"/>
      <w:r w:rsidR="00455B21">
        <w:t xml:space="preserve"> empirically</w:t>
      </w:r>
      <w:r w:rsidR="00D225BC">
        <w:t>.</w:t>
      </w:r>
      <w:r w:rsidR="00CD6DEA">
        <w:t xml:space="preserve"> </w:t>
      </w:r>
      <w:r w:rsidR="00825D9A">
        <w:t>T</w:t>
      </w:r>
      <w:r w:rsidR="00082209">
        <w:t xml:space="preserve">he measurements are </w:t>
      </w:r>
      <w:r>
        <w:t xml:space="preserve">not close to </w:t>
      </w:r>
      <w:r w:rsidR="00082209">
        <w:t xml:space="preserve">the </w:t>
      </w:r>
      <w:r>
        <w:t xml:space="preserve">noise floor </w:t>
      </w:r>
      <w:r w:rsidR="00082209">
        <w:t xml:space="preserve">of the </w:t>
      </w:r>
      <w:proofErr w:type="gramStart"/>
      <w:r w:rsidR="00082209">
        <w:t>detector</w:t>
      </w:r>
      <w:proofErr w:type="gramEnd"/>
      <w:r w:rsidR="00082209">
        <w:t xml:space="preserve"> </w:t>
      </w:r>
      <w:r>
        <w:t>so</w:t>
      </w:r>
      <w:r w:rsidR="00082209">
        <w:t xml:space="preserve"> they</w:t>
      </w:r>
      <w:r w:rsidR="008D53EA">
        <w:t xml:space="preserve"> are</w:t>
      </w:r>
      <w:r>
        <w:t xml:space="preserve"> not limited by detectivity.</w:t>
      </w:r>
      <w:r w:rsidR="00F63FCF">
        <w:t xml:space="preserve"> </w:t>
      </w:r>
      <w:r w:rsidR="00D225BC">
        <w:t xml:space="preserve">Reflections are not a significant issue because there are not pronounced ripples in the spectrum, which would arise from </w:t>
      </w:r>
      <w:r w:rsidR="00031A10">
        <w:t xml:space="preserve">Fabry-Perot resonances. </w:t>
      </w:r>
    </w:p>
    <w:p w14:paraId="3ACD7A65" w14:textId="0F8237C1" w:rsidR="001A303F" w:rsidRDefault="0059069E" w:rsidP="001A303F">
      <w:pPr>
        <w:pStyle w:val="TAMainText"/>
      </w:pPr>
      <w:r>
        <w:t>The effect of f</w:t>
      </w:r>
      <w:r w:rsidR="00031A10">
        <w:t>luctuations in the output power of the l</w:t>
      </w:r>
      <w:r w:rsidR="001A303F">
        <w:t xml:space="preserve">aser </w:t>
      </w:r>
      <w:r w:rsidR="00520148">
        <w:t>wa</w:t>
      </w:r>
      <w:r>
        <w:t xml:space="preserve">s reduced </w:t>
      </w:r>
      <w:r w:rsidR="001A303F">
        <w:t xml:space="preserve">by averaging </w:t>
      </w:r>
      <w:r>
        <w:t xml:space="preserve">100 scans per </w:t>
      </w:r>
      <w:proofErr w:type="gramStart"/>
      <w:r w:rsidR="002363EA">
        <w:t>measurement</w:t>
      </w:r>
      <w:proofErr w:type="gramEnd"/>
      <w:r w:rsidR="002363EA">
        <w:t xml:space="preserve"> </w:t>
      </w:r>
      <w:r w:rsidR="001A303F">
        <w:t xml:space="preserve">but </w:t>
      </w:r>
      <w:r w:rsidR="00743364">
        <w:t xml:space="preserve">the laser performance will always be different between the </w:t>
      </w:r>
      <w:r w:rsidR="004C2FDC">
        <w:t>reference and sample measurements</w:t>
      </w:r>
      <w:r w:rsidR="00A13F74">
        <w:t xml:space="preserve"> because they are measured one after the other. A</w:t>
      </w:r>
      <w:r w:rsidR="00743364">
        <w:t xml:space="preserve"> more sophisticated strategy where they are measured simultaneously would be beneficial</w:t>
      </w:r>
      <w:r w:rsidR="002363EA">
        <w:t>.</w:t>
      </w:r>
      <w:r w:rsidR="001A303F">
        <w:t xml:space="preserve"> </w:t>
      </w:r>
      <w:r w:rsidR="00F217B8">
        <w:t xml:space="preserve">The most effective way to do this </w:t>
      </w:r>
      <w:r w:rsidR="00917D2B">
        <w:t xml:space="preserve">would be </w:t>
      </w:r>
      <w:r w:rsidR="00F217B8">
        <w:t xml:space="preserve">to </w:t>
      </w:r>
      <w:r w:rsidR="00010D11">
        <w:t xml:space="preserve">use an on-chip </w:t>
      </w:r>
      <w:r w:rsidR="00F217B8">
        <w:t>split</w:t>
      </w:r>
      <w:r w:rsidR="00010D11">
        <w:t xml:space="preserve">ter to divide </w:t>
      </w:r>
      <w:r w:rsidR="00F217B8">
        <w:t xml:space="preserve">the </w:t>
      </w:r>
      <w:r w:rsidR="005E4C75">
        <w:t xml:space="preserve">input into separate </w:t>
      </w:r>
      <w:r w:rsidR="006D4B4F">
        <w:t>sensing and referencing waveguides.</w:t>
      </w:r>
      <w:r w:rsidR="00F626B4">
        <w:t xml:space="preserve"> These could either be measured simultaneously using </w:t>
      </w:r>
      <w:r w:rsidR="006E45AB">
        <w:t xml:space="preserve">two </w:t>
      </w:r>
      <w:r w:rsidR="00F626B4">
        <w:t xml:space="preserve">balanced detectors or </w:t>
      </w:r>
      <w:r w:rsidR="00457EF6">
        <w:t>measured sequentially</w:t>
      </w:r>
      <w:r w:rsidR="00B231F2">
        <w:t xml:space="preserve"> using a single detector by recombining into a single waveguide and switching between the two.</w:t>
      </w:r>
      <w:r w:rsidR="00F66545">
        <w:t xml:space="preserve"> </w:t>
      </w:r>
      <w:r w:rsidR="004C4A79">
        <w:t xml:space="preserve">The </w:t>
      </w:r>
      <w:r w:rsidR="006E45AB">
        <w:t xml:space="preserve">simultaneous measurements of the </w:t>
      </w:r>
      <w:r w:rsidR="004C4A79">
        <w:t xml:space="preserve">first method </w:t>
      </w:r>
      <w:r w:rsidR="00DA4F60">
        <w:t xml:space="preserve">would enable </w:t>
      </w:r>
      <w:r w:rsidR="00172C52">
        <w:t xml:space="preserve">cancellation of fluctuations in the laser output power but would be more challenging experimentally because of the need to have two </w:t>
      </w:r>
      <w:r w:rsidR="00E70C35">
        <w:t xml:space="preserve">optically </w:t>
      </w:r>
      <w:r w:rsidR="00172C52">
        <w:t>isolated detectors close to each other.</w:t>
      </w:r>
      <w:r w:rsidR="00495E8E">
        <w:t xml:space="preserve"> Using a single detector would be simpler experimentally but would require fast modulation between the two paths </w:t>
      </w:r>
      <w:r w:rsidR="002522D0">
        <w:t>for effective cancellation to occur.</w:t>
      </w:r>
    </w:p>
    <w:p w14:paraId="6F40E436" w14:textId="3CA5D349" w:rsidR="004B0E7D" w:rsidRPr="00EF5F80" w:rsidRDefault="004C4A79" w:rsidP="00FF7116">
      <w:pPr>
        <w:pStyle w:val="TAMainText"/>
      </w:pPr>
      <w:r>
        <w:lastRenderedPageBreak/>
        <w:t xml:space="preserve">A third option would be to use a beam splitter </w:t>
      </w:r>
      <w:r w:rsidR="001D77C2">
        <w:t xml:space="preserve">before coupling </w:t>
      </w:r>
      <w:r w:rsidR="007A5BC5">
        <w:t xml:space="preserve">to </w:t>
      </w:r>
      <w:r w:rsidR="001D77C2">
        <w:t xml:space="preserve">the TDM chip </w:t>
      </w:r>
      <w:r w:rsidR="002F228C">
        <w:t>to measure the laser power</w:t>
      </w:r>
      <w:r w:rsidR="002522D0">
        <w:t xml:space="preserve"> directly</w:t>
      </w:r>
      <w:r w:rsidR="001D77C2">
        <w:t xml:space="preserve">. </w:t>
      </w:r>
      <w:r w:rsidR="007A5BC5">
        <w:t xml:space="preserve">This was attempted using our setup but proved ineffective </w:t>
      </w:r>
      <w:r w:rsidR="004B0E7D">
        <w:t>because waveguide</w:t>
      </w:r>
      <w:r w:rsidR="00697D7B">
        <w:t xml:space="preserve"> </w:t>
      </w:r>
      <w:r w:rsidR="006473F8">
        <w:t xml:space="preserve">coupling </w:t>
      </w:r>
      <w:r w:rsidR="00697D7B">
        <w:t xml:space="preserve">was </w:t>
      </w:r>
      <w:r w:rsidR="006473F8">
        <w:t xml:space="preserve">heavily influenced by </w:t>
      </w:r>
      <w:r w:rsidR="0061052A">
        <w:t xml:space="preserve">small variations in </w:t>
      </w:r>
      <w:r w:rsidR="006473F8">
        <w:t>beam pointing</w:t>
      </w:r>
      <w:r w:rsidR="006838C6">
        <w:t xml:space="preserve"> </w:t>
      </w:r>
      <w:r w:rsidR="0061052A">
        <w:t xml:space="preserve">from the QCL </w:t>
      </w:r>
      <w:r w:rsidR="00D75FBE">
        <w:t xml:space="preserve">and </w:t>
      </w:r>
      <w:r w:rsidR="006838C6">
        <w:t>this information could not be captured using a power meter or detector</w:t>
      </w:r>
      <w:r w:rsidR="004B0E7D">
        <w:t>.</w:t>
      </w:r>
    </w:p>
    <w:p w14:paraId="100C5064" w14:textId="5449C66B" w:rsidR="00D20343" w:rsidRPr="00D20343" w:rsidRDefault="00E114A4" w:rsidP="00BC46F9">
      <w:pPr>
        <w:pStyle w:val="TAMainText"/>
      </w:pPr>
      <w:r w:rsidRPr="00D20343">
        <w:t xml:space="preserve">Here we have demonstrated that mid-IR silicon photonics </w:t>
      </w:r>
      <w:proofErr w:type="gramStart"/>
      <w:r w:rsidRPr="00D20343">
        <w:t>has</w:t>
      </w:r>
      <w:proofErr w:type="gramEnd"/>
      <w:r w:rsidRPr="00D20343">
        <w:t xml:space="preserve"> appropriate sensitivity for TDM of a single drug. In clinical practice, it is likely that a patient </w:t>
      </w:r>
      <w:proofErr w:type="gramStart"/>
      <w:r w:rsidRPr="00D20343">
        <w:t>would</w:t>
      </w:r>
      <w:proofErr w:type="gramEnd"/>
      <w:r w:rsidRPr="00D20343">
        <w:t xml:space="preserve"> not receive phenytoin alone</w:t>
      </w:r>
      <w:r w:rsidR="00D20343" w:rsidRPr="00D20343">
        <w:t>. For example, they could also receive analgesics for pain relief or other anti-</w:t>
      </w:r>
      <w:proofErr w:type="spellStart"/>
      <w:r w:rsidR="00D20343" w:rsidRPr="00D20343">
        <w:t>convulsants</w:t>
      </w:r>
      <w:proofErr w:type="spellEnd"/>
      <w:r w:rsidR="00D20343" w:rsidRPr="00D20343">
        <w:t xml:space="preserve"> for seizure management, which would have different therapeutic windows and would be </w:t>
      </w:r>
      <w:r w:rsidR="00930116" w:rsidRPr="00D20343">
        <w:t>metabolized</w:t>
      </w:r>
      <w:r w:rsidR="00D20343" w:rsidRPr="00D20343">
        <w:t xml:space="preserve"> at different rates. This would require the sensor to operate over a wider spectral range </w:t>
      </w:r>
      <w:r w:rsidR="000F6D7B" w:rsidRPr="00D20343">
        <w:t>to</w:t>
      </w:r>
      <w:r w:rsidR="00D20343" w:rsidRPr="00D20343">
        <w:t xml:space="preserve"> identify the characteristic peaks of each drug, which is important for quantification in situations where the peaks overlap.</w:t>
      </w:r>
      <w:r w:rsidR="00D20343">
        <w:t xml:space="preserve"> This is significant for future work using patient-derived samples rather than spiked samples because metabolites of the TDM target are likely to demonstrate overlapping spectral features with the analyte.</w:t>
      </w:r>
    </w:p>
    <w:p w14:paraId="6051D1E1" w14:textId="34F24B8D" w:rsidR="00AB34C5" w:rsidRDefault="00D20343" w:rsidP="00BC46F9">
      <w:pPr>
        <w:pStyle w:val="TAMainText"/>
      </w:pPr>
      <w:r w:rsidRPr="00D20343">
        <w:t xml:space="preserve">Polypharmacy will require further </w:t>
      </w:r>
      <w:r w:rsidR="002F4741" w:rsidRPr="00D20343">
        <w:t>adaptation</w:t>
      </w:r>
      <w:r w:rsidRPr="00D20343">
        <w:t xml:space="preserve"> of the sample pre-processing. E</w:t>
      </w:r>
      <w:r w:rsidR="00024880" w:rsidRPr="00D20343">
        <w:t xml:space="preserve">thyl acetate </w:t>
      </w:r>
      <w:r w:rsidR="00D53EB9" w:rsidRPr="00D20343">
        <w:t xml:space="preserve">will dissolve many </w:t>
      </w:r>
      <w:r w:rsidRPr="00D20343">
        <w:t xml:space="preserve">but not all </w:t>
      </w:r>
      <w:r w:rsidR="00D53EB9" w:rsidRPr="00D20343">
        <w:t xml:space="preserve">hydrophobic drugs </w:t>
      </w:r>
      <w:r w:rsidRPr="00D20343">
        <w:t xml:space="preserve">and it cannot dissolve hydrophilic molecules, including common drugs such as paracetamol or beta-lactam antibiotics. If TDM were necessary for these other targets, a different extraction process would be required, although if TDM were not necessary for the other drugs then the extraction process could be </w:t>
      </w:r>
      <w:r w:rsidR="00930116" w:rsidRPr="00D20343">
        <w:t>favorable</w:t>
      </w:r>
      <w:r w:rsidRPr="00D20343">
        <w:t xml:space="preserve"> by excluding them from the </w:t>
      </w:r>
      <w:r w:rsidR="00930116" w:rsidRPr="00D20343">
        <w:t>analyzed</w:t>
      </w:r>
      <w:r w:rsidRPr="00D20343">
        <w:t xml:space="preserve"> material.</w:t>
      </w:r>
    </w:p>
    <w:p w14:paraId="4B419033" w14:textId="77777777" w:rsidR="00BC46F9" w:rsidRPr="003C3045" w:rsidRDefault="00BC46F9" w:rsidP="00BC46F9">
      <w:pPr>
        <w:pStyle w:val="TAMainText"/>
        <w:rPr>
          <w:highlight w:val="yellow"/>
        </w:rPr>
      </w:pPr>
    </w:p>
    <w:p w14:paraId="445A2F94" w14:textId="7DA5D41A" w:rsidR="00D20343" w:rsidRDefault="005769FE" w:rsidP="00BA2BBC">
      <w:pPr>
        <w:pStyle w:val="VDTableTitle"/>
        <w:spacing w:after="0"/>
      </w:pPr>
      <w:r>
        <w:t>CONCLUSION</w:t>
      </w:r>
      <w:r w:rsidR="00AB34C5">
        <w:t xml:space="preserve"> </w:t>
      </w:r>
      <w:r w:rsidR="00D20343">
        <w:t xml:space="preserve">This work reports the design and validation of evanescent </w:t>
      </w:r>
      <w:proofErr w:type="spellStart"/>
      <w:r w:rsidR="00D20343">
        <w:t>GoS</w:t>
      </w:r>
      <w:proofErr w:type="spellEnd"/>
      <w:r w:rsidR="00D20343">
        <w:t xml:space="preserve"> waveguide sensors for TDM of phenytoin using spiked serum </w:t>
      </w:r>
      <w:r w:rsidR="00D20343" w:rsidRPr="00414DA0">
        <w:t>samples. The limit of detection was 2.20 mg/L, which is lower than the therapeutic window of 10 – 20 mg/L</w:t>
      </w:r>
      <w:r w:rsidR="00990CF6" w:rsidRPr="00414DA0">
        <w:t xml:space="preserve"> </w:t>
      </w:r>
      <w:r w:rsidR="00E31BE9" w:rsidRPr="00414DA0">
        <w:t xml:space="preserve">to </w:t>
      </w:r>
      <w:r w:rsidR="000E267A" w:rsidRPr="00414DA0">
        <w:t xml:space="preserve">enable identification of sub‑therapeutic </w:t>
      </w:r>
      <w:r w:rsidR="000E267A" w:rsidRPr="00414DA0">
        <w:lastRenderedPageBreak/>
        <w:t>concentrations. At the same time, the concentration‑dependent response remains consistent up to 40 mg/L, demonstrating that the platform can also quantify supra‑therapeutic levels and is suitable for monitoring across the full clinically relevant range</w:t>
      </w:r>
      <w:r w:rsidR="00D20343" w:rsidRPr="00414DA0">
        <w:t>.</w:t>
      </w:r>
      <w:r w:rsidR="00D20343">
        <w:t xml:space="preserve"> </w:t>
      </w:r>
    </w:p>
    <w:p w14:paraId="3DED89BE" w14:textId="5CAF18E0" w:rsidR="00AB34C5" w:rsidRDefault="00BC46F9" w:rsidP="00D20343">
      <w:pPr>
        <w:pStyle w:val="TAMainText"/>
      </w:pPr>
      <w:r>
        <w:t xml:space="preserve">The confinement trench </w:t>
      </w:r>
      <w:r w:rsidR="00D20343">
        <w:t xml:space="preserve">proved </w:t>
      </w:r>
      <w:commentRangeStart w:id="39"/>
      <w:r w:rsidR="00D20343">
        <w:t>ineffective</w:t>
      </w:r>
      <w:commentRangeEnd w:id="39"/>
      <w:r w:rsidR="00CD6ACB">
        <w:rPr>
          <w:rStyle w:val="CommentReference"/>
        </w:rPr>
        <w:commentReference w:id="39"/>
      </w:r>
      <w:r w:rsidR="00D20343">
        <w:t xml:space="preserve"> for controlling the spread of low contact angle samples and the</w:t>
      </w:r>
      <w:r>
        <w:t xml:space="preserve"> nested waveguide design appears to cause some </w:t>
      </w:r>
      <w:r w:rsidR="00D20343">
        <w:t xml:space="preserve">issues with sample homogeneity. Straight waveguides with cladding to define interaction length would rectify these effects. Future work will focus on validating mid-IR </w:t>
      </w:r>
      <w:proofErr w:type="spellStart"/>
      <w:r w:rsidR="00D20343">
        <w:t>GoS</w:t>
      </w:r>
      <w:proofErr w:type="spellEnd"/>
      <w:r w:rsidR="00D20343">
        <w:t xml:space="preserve"> sensors for TDM using a wider wavelength range for patient-derived samples containing metabolites and other drugs.</w:t>
      </w:r>
    </w:p>
    <w:p w14:paraId="0B1E438F" w14:textId="77777777" w:rsidR="00D20343" w:rsidRDefault="00D20343" w:rsidP="00D20343">
      <w:pPr>
        <w:pStyle w:val="TAMainText"/>
      </w:pPr>
    </w:p>
    <w:p w14:paraId="5B4BC514" w14:textId="77777777" w:rsidR="00DD6DBB" w:rsidRDefault="00DD6DBB" w:rsidP="00DD6DBB">
      <w:pPr>
        <w:pStyle w:val="FACorrespondingAuthorFootnote"/>
        <w:spacing w:after="0"/>
        <w:jc w:val="left"/>
      </w:pPr>
      <w:r>
        <w:t>AUTHOR INFORMATION</w:t>
      </w:r>
    </w:p>
    <w:p w14:paraId="04D47BB7" w14:textId="77777777" w:rsidR="00DD6DBB" w:rsidRPr="00DD6DBB" w:rsidRDefault="00DD6DBB" w:rsidP="004E7185">
      <w:pPr>
        <w:pStyle w:val="FAAuthorInfoSubtitle"/>
      </w:pPr>
      <w:r w:rsidRPr="00DD6DBB">
        <w:t>Corresponding Author</w:t>
      </w:r>
    </w:p>
    <w:p w14:paraId="669AE116" w14:textId="2CA0E42F" w:rsidR="009246AD" w:rsidRDefault="00DD6DBB" w:rsidP="00DD6DBB">
      <w:pPr>
        <w:pStyle w:val="FACorrespondingAuthorFootnote"/>
        <w:spacing w:after="240"/>
        <w:jc w:val="left"/>
      </w:pPr>
      <w:r>
        <w:t>*</w:t>
      </w:r>
      <w:r w:rsidR="00CF5D8E">
        <w:t xml:space="preserve"> C</w:t>
      </w:r>
      <w:r w:rsidR="00C10EE0" w:rsidRPr="003E5207">
        <w:t>orrespondence should be addressed</w:t>
      </w:r>
      <w:r w:rsidR="00CF5D8E">
        <w:t xml:space="preserve"> to Dr David J. Rowe at d.rowe@soton.ac.uk</w:t>
      </w:r>
      <w:r w:rsidR="00C10EE0" w:rsidRPr="003E5207">
        <w:t>.</w:t>
      </w:r>
    </w:p>
    <w:p w14:paraId="76F57F74" w14:textId="77777777" w:rsidR="00C10EE0" w:rsidRPr="00DD6DBB" w:rsidRDefault="00C10EE0" w:rsidP="00DD6DBB">
      <w:pPr>
        <w:pStyle w:val="FAAuthorInfoSubtitle"/>
      </w:pPr>
      <w:r w:rsidRPr="00DD6DBB">
        <w:t>Author Contributions</w:t>
      </w:r>
    </w:p>
    <w:p w14:paraId="43276F04" w14:textId="335EA954" w:rsidR="00C10EE0" w:rsidRPr="00DD6DBB" w:rsidRDefault="00C10EE0" w:rsidP="00DD6DBB">
      <w:pPr>
        <w:pStyle w:val="StyleFACorrespondingAuthorFootnote7pt"/>
        <w:spacing w:after="240" w:line="480" w:lineRule="auto"/>
        <w:rPr>
          <w:rFonts w:ascii="Times" w:hAnsi="Times"/>
          <w:kern w:val="0"/>
          <w:sz w:val="24"/>
        </w:rPr>
      </w:pPr>
      <w:r w:rsidRPr="00DD6DBB">
        <w:rPr>
          <w:rFonts w:ascii="Times" w:hAnsi="Times"/>
          <w:kern w:val="0"/>
          <w:sz w:val="24"/>
        </w:rPr>
        <w:t>The manuscript was written throug</w:t>
      </w:r>
      <w:r w:rsidR="00DD6DBB">
        <w:rPr>
          <w:rFonts w:ascii="Times" w:hAnsi="Times"/>
          <w:kern w:val="0"/>
          <w:sz w:val="24"/>
        </w:rPr>
        <w:t xml:space="preserve">h contributions of all authors. </w:t>
      </w:r>
      <w:r w:rsidRPr="00DD6DBB">
        <w:rPr>
          <w:rFonts w:ascii="Times" w:hAnsi="Times"/>
          <w:kern w:val="0"/>
          <w:sz w:val="24"/>
        </w:rPr>
        <w:t>All authors have given approval to the final version of the manuscript.</w:t>
      </w:r>
      <w:r w:rsidR="00DD6DBB">
        <w:rPr>
          <w:rFonts w:ascii="Times" w:hAnsi="Times"/>
          <w:kern w:val="0"/>
          <w:sz w:val="24"/>
        </w:rPr>
        <w:t xml:space="preserve"> </w:t>
      </w:r>
    </w:p>
    <w:p w14:paraId="4845FCB9" w14:textId="77777777" w:rsidR="00DD6DBB" w:rsidRDefault="00DD6DBB" w:rsidP="000B5610">
      <w:pPr>
        <w:pStyle w:val="TDAcknowledgments"/>
        <w:spacing w:before="0" w:after="0"/>
        <w:ind w:firstLine="0"/>
        <w:jc w:val="left"/>
      </w:pPr>
      <w:r>
        <w:t>ACKNOWLEDGMENT</w:t>
      </w:r>
    </w:p>
    <w:p w14:paraId="3FFD22B8" w14:textId="4C649808" w:rsidR="009246AD" w:rsidRDefault="00835904" w:rsidP="000B5610">
      <w:pPr>
        <w:pStyle w:val="TDAcknowledgments"/>
        <w:spacing w:before="0" w:after="240"/>
        <w:ind w:firstLine="0"/>
        <w:jc w:val="left"/>
      </w:pPr>
      <w:r w:rsidRPr="00835904">
        <w:t>The authors acknowledge funding from the Engineering and Physical Sciences Research Council (grant no. EP/V047663/1)</w:t>
      </w:r>
      <w:r w:rsidR="009246AD">
        <w:t>.</w:t>
      </w:r>
    </w:p>
    <w:p w14:paraId="6D29BAB1" w14:textId="77777777" w:rsidR="00DD6DBB" w:rsidRDefault="00DD6DBB" w:rsidP="00DD6DBB">
      <w:r>
        <w:t>ABBREVIATIONS</w:t>
      </w:r>
    </w:p>
    <w:p w14:paraId="74EC0DEF" w14:textId="2D73B7D8" w:rsidR="00DD6DBB" w:rsidRDefault="00781595" w:rsidP="00DD6DBB">
      <w:pPr>
        <w:spacing w:line="480" w:lineRule="auto"/>
        <w:jc w:val="left"/>
      </w:pPr>
      <w:r>
        <w:t xml:space="preserve">QCL, quantum cascade laser; </w:t>
      </w:r>
      <w:r w:rsidR="00EE2E3E">
        <w:t>ATR-FTIR</w:t>
      </w:r>
      <w:r w:rsidR="00DD6DBB" w:rsidRPr="00101D1F">
        <w:t xml:space="preserve">, </w:t>
      </w:r>
      <w:r w:rsidR="00EE2E3E">
        <w:t>attenuated total reflection-Fourier transform infrared</w:t>
      </w:r>
      <w:r w:rsidR="00DD6DBB" w:rsidRPr="00101D1F">
        <w:t>.</w:t>
      </w:r>
    </w:p>
    <w:p w14:paraId="1EDF90EC" w14:textId="77777777" w:rsidR="00DD6DBB" w:rsidRDefault="00DD6DBB" w:rsidP="000B5610">
      <w:pPr>
        <w:pStyle w:val="TFReferencesSection"/>
        <w:spacing w:after="0"/>
        <w:ind w:firstLine="0"/>
      </w:pPr>
      <w:r>
        <w:t>REFERENCES</w:t>
      </w:r>
    </w:p>
    <w:p w14:paraId="03D2AD36" w14:textId="77777777" w:rsidR="005055C6" w:rsidRPr="005055C6" w:rsidRDefault="009D50DD" w:rsidP="005055C6">
      <w:pPr>
        <w:pStyle w:val="EndNoteBibliography"/>
        <w:spacing w:after="0"/>
      </w:pPr>
      <w:r>
        <w:lastRenderedPageBreak/>
        <w:fldChar w:fldCharType="begin"/>
      </w:r>
      <w:r>
        <w:instrText xml:space="preserve"> ADDIN EN.REFLIST </w:instrText>
      </w:r>
      <w:r>
        <w:fldChar w:fldCharType="separate"/>
      </w:r>
      <w:r w:rsidR="005055C6" w:rsidRPr="005055C6">
        <w:t xml:space="preserve">(1) Xiao, Y.; Xu, L.; Qian, Y.; Xu, Y. Identification and characterization of critical values in therapeutic drug monitoring: a retrospective analysis. </w:t>
      </w:r>
      <w:r w:rsidR="005055C6" w:rsidRPr="005055C6">
        <w:rPr>
          <w:i/>
        </w:rPr>
        <w:t xml:space="preserve">Scientific Reports </w:t>
      </w:r>
      <w:r w:rsidR="005055C6" w:rsidRPr="005055C6">
        <w:rPr>
          <w:b/>
        </w:rPr>
        <w:t>2024</w:t>
      </w:r>
      <w:r w:rsidR="005055C6" w:rsidRPr="005055C6">
        <w:t xml:space="preserve">, </w:t>
      </w:r>
      <w:r w:rsidR="005055C6" w:rsidRPr="005055C6">
        <w:rPr>
          <w:i/>
        </w:rPr>
        <w:t>14</w:t>
      </w:r>
      <w:r w:rsidR="005055C6" w:rsidRPr="005055C6">
        <w:t xml:space="preserve"> (1), 11520. DOI: 10.1038/s41598-024-62402-7.</w:t>
      </w:r>
    </w:p>
    <w:p w14:paraId="38FAC7E9" w14:textId="77777777" w:rsidR="005055C6" w:rsidRPr="005055C6" w:rsidRDefault="005055C6" w:rsidP="005055C6">
      <w:pPr>
        <w:pStyle w:val="EndNoteBibliography"/>
        <w:spacing w:after="0"/>
      </w:pPr>
      <w:r w:rsidRPr="005055C6">
        <w:t xml:space="preserve">(2) Sotnikov, D. V.; Zherdev, A. V.; Zvereva, E. A.; Eremin, S. A.; Dzantiev, B. B. Changing Cross-Reactivity for Different Immunoassays Using the Same Antibodies: Theoretical Description and Experimental Confirmation. In </w:t>
      </w:r>
      <w:r w:rsidRPr="005055C6">
        <w:rPr>
          <w:i/>
        </w:rPr>
        <w:t>Applied Sciences</w:t>
      </w:r>
      <w:r w:rsidRPr="005055C6">
        <w:t>, 2021; Vol. 11, p 6581.</w:t>
      </w:r>
    </w:p>
    <w:p w14:paraId="4F58B91E" w14:textId="77777777" w:rsidR="005055C6" w:rsidRPr="005055C6" w:rsidRDefault="005055C6" w:rsidP="005055C6">
      <w:pPr>
        <w:pStyle w:val="EndNoteBibliography"/>
        <w:spacing w:after="0"/>
      </w:pPr>
      <w:r w:rsidRPr="005055C6">
        <w:t xml:space="preserve">(3) Anderson, M.; Pitchforth, E.; McGuire, A.; Mossialos, E. The NHS 10-year plan: between aspiration and implementation. </w:t>
      </w:r>
      <w:r w:rsidRPr="005055C6">
        <w:rPr>
          <w:i/>
        </w:rPr>
        <w:t>Lancet</w:t>
      </w:r>
      <w:r w:rsidRPr="005055C6">
        <w:t>. DOI: 10.1016/S0140-6736(26)00035-8.</w:t>
      </w:r>
    </w:p>
    <w:p w14:paraId="6F9A29AE" w14:textId="77777777" w:rsidR="005055C6" w:rsidRPr="005055C6" w:rsidRDefault="005055C6" w:rsidP="005055C6">
      <w:pPr>
        <w:pStyle w:val="EndNoteBibliography"/>
        <w:spacing w:after="0"/>
      </w:pPr>
      <w:r w:rsidRPr="005055C6">
        <w:t xml:space="preserve">(4) Göksel, Y.; Zor, K.; Rindzevicius, T.; Thorhauge Als-Nielsen, B. E.; Schmiegelow, K.; Boisen, A. Quantification of Methotrexate in Human Serum Using Surface-Enhanced Raman Scattering—Toward Therapeutic Drug Monitoring. </w:t>
      </w:r>
      <w:r w:rsidRPr="005055C6">
        <w:rPr>
          <w:i/>
        </w:rPr>
        <w:t xml:space="preserve">ACS Sensors </w:t>
      </w:r>
      <w:r w:rsidRPr="005055C6">
        <w:rPr>
          <w:b/>
        </w:rPr>
        <w:t>2021</w:t>
      </w:r>
      <w:r w:rsidRPr="005055C6">
        <w:t xml:space="preserve">, </w:t>
      </w:r>
      <w:r w:rsidRPr="005055C6">
        <w:rPr>
          <w:i/>
        </w:rPr>
        <w:t>6</w:t>
      </w:r>
      <w:r w:rsidRPr="005055C6">
        <w:t xml:space="preserve"> (7), 2664-2673. DOI: 10.1021/acssensors.1c00643.</w:t>
      </w:r>
    </w:p>
    <w:p w14:paraId="177F2116" w14:textId="77777777" w:rsidR="005055C6" w:rsidRPr="005055C6" w:rsidRDefault="005055C6" w:rsidP="005055C6">
      <w:pPr>
        <w:pStyle w:val="EndNoteBibliography"/>
        <w:spacing w:after="0"/>
      </w:pPr>
      <w:r w:rsidRPr="005055C6">
        <w:t xml:space="preserve">(5) Jaworska, A.; Fornasaro, S.; Sergo, V.; Bonifacio, A. Potential of Surface Enhanced Raman Spectroscopy (SERS) in Therapeutic Drug Monitoring (TDM). A Critical Review. In </w:t>
      </w:r>
      <w:r w:rsidRPr="005055C6">
        <w:rPr>
          <w:i/>
        </w:rPr>
        <w:t>Biosensors</w:t>
      </w:r>
      <w:r w:rsidRPr="005055C6">
        <w:t>, 2016; Vol. 6, p 47.</w:t>
      </w:r>
    </w:p>
    <w:p w14:paraId="379C6CFC" w14:textId="77777777" w:rsidR="005055C6" w:rsidRPr="005055C6" w:rsidRDefault="005055C6" w:rsidP="005055C6">
      <w:pPr>
        <w:pStyle w:val="EndNoteBibliography"/>
        <w:spacing w:after="0"/>
      </w:pPr>
      <w:r w:rsidRPr="005055C6">
        <w:t xml:space="preserve">(6) Li, C.; Ye, Z.; Xu, Y.; Bell, S. E. J. An overview of therapeutic anticancer drug monitoring based on surface enhanced (resonance) Raman spectroscopy (SE(R)RS). </w:t>
      </w:r>
      <w:r w:rsidRPr="005055C6">
        <w:rPr>
          <w:i/>
        </w:rPr>
        <w:t xml:space="preserve">Analyst </w:t>
      </w:r>
      <w:r w:rsidRPr="005055C6">
        <w:rPr>
          <w:b/>
        </w:rPr>
        <w:t>2020</w:t>
      </w:r>
      <w:r w:rsidRPr="005055C6">
        <w:t xml:space="preserve">, </w:t>
      </w:r>
      <w:r w:rsidRPr="005055C6">
        <w:rPr>
          <w:i/>
        </w:rPr>
        <w:t>145</w:t>
      </w:r>
      <w:r w:rsidRPr="005055C6">
        <w:t xml:space="preserve"> (19), 6211-6221, 10.1039/D0AN00891E. DOI: 10.1039/D0AN00891E.</w:t>
      </w:r>
    </w:p>
    <w:p w14:paraId="7CA45757" w14:textId="77777777" w:rsidR="005055C6" w:rsidRPr="005055C6" w:rsidRDefault="005055C6" w:rsidP="005055C6">
      <w:pPr>
        <w:pStyle w:val="EndNoteBibliography"/>
        <w:spacing w:after="0"/>
      </w:pPr>
      <w:r w:rsidRPr="005055C6">
        <w:t xml:space="preserve">(7) Mittal, V.; Devitt, G.; Nedeljkovic, M.; Carpenter, L. G.; Chong, H. M. H.; Wilkinson, J. S.; Mahajan, S.; Mashanovich, G. Z. Ge on Si waveguide mid-infrared absorption spectroscopy of proteins and their aggregates. </w:t>
      </w:r>
      <w:r w:rsidRPr="005055C6">
        <w:rPr>
          <w:i/>
        </w:rPr>
        <w:t xml:space="preserve">Biomed. Opt. Express </w:t>
      </w:r>
      <w:r w:rsidRPr="005055C6">
        <w:rPr>
          <w:b/>
        </w:rPr>
        <w:t>2020</w:t>
      </w:r>
      <w:r w:rsidRPr="005055C6">
        <w:t xml:space="preserve">, </w:t>
      </w:r>
      <w:r w:rsidRPr="005055C6">
        <w:rPr>
          <w:i/>
        </w:rPr>
        <w:t>11</w:t>
      </w:r>
      <w:r w:rsidRPr="005055C6">
        <w:t xml:space="preserve"> (8), 4714-4722. DOI: 10.1364/BOE.398013.</w:t>
      </w:r>
    </w:p>
    <w:p w14:paraId="6EE51917" w14:textId="77777777" w:rsidR="005055C6" w:rsidRPr="005055C6" w:rsidRDefault="005055C6" w:rsidP="005055C6">
      <w:pPr>
        <w:pStyle w:val="EndNoteBibliography"/>
        <w:spacing w:after="0"/>
      </w:pPr>
      <w:r w:rsidRPr="005055C6">
        <w:t xml:space="preserve">(8) Mittal, V.; Nedeljkovic, M.; Carpenter, L. G.; Khokhar, A. Z.; Chong, H. M. H.; Mashanovich, G. Z.; Bartlett, P. N.; Wilkinson, J. S. Waveguide absorption spectroscopy of bovine serum albumin in the mid-infrared fingerprint region. </w:t>
      </w:r>
      <w:r w:rsidRPr="005055C6">
        <w:rPr>
          <w:i/>
        </w:rPr>
        <w:t xml:space="preserve">ACS Sensors </w:t>
      </w:r>
      <w:r w:rsidRPr="005055C6">
        <w:rPr>
          <w:b/>
        </w:rPr>
        <w:t>2019</w:t>
      </w:r>
      <w:r w:rsidRPr="005055C6">
        <w:t xml:space="preserve">, </w:t>
      </w:r>
      <w:r w:rsidRPr="005055C6">
        <w:rPr>
          <w:i/>
        </w:rPr>
        <w:t>4</w:t>
      </w:r>
      <w:r w:rsidRPr="005055C6">
        <w:t xml:space="preserve"> (7), 1749-1753, Article. DOI: 10.1021/acssensors.9b00215 Scopus.</w:t>
      </w:r>
    </w:p>
    <w:p w14:paraId="233F4C2C" w14:textId="77777777" w:rsidR="005055C6" w:rsidRPr="005055C6" w:rsidRDefault="005055C6" w:rsidP="005055C6">
      <w:pPr>
        <w:pStyle w:val="EndNoteBibliography"/>
        <w:spacing w:after="0"/>
      </w:pPr>
      <w:r w:rsidRPr="005055C6">
        <w:t xml:space="preserve">(9) Mitchell, C. J.; Hu, T.; Sun, S.; Stirling, C. J.; Nedeljkovic, M.; Peacock, A. C.; Reed, G. T.; Mashanovich, G. Z.; Rowe, D. J. Mid-infrared silicon photonics: From benchtop to real-world applications. </w:t>
      </w:r>
      <w:r w:rsidRPr="005055C6">
        <w:rPr>
          <w:i/>
        </w:rPr>
        <w:t xml:space="preserve">APL Photonics </w:t>
      </w:r>
      <w:r w:rsidRPr="005055C6">
        <w:rPr>
          <w:b/>
        </w:rPr>
        <w:t>2024</w:t>
      </w:r>
      <w:r w:rsidRPr="005055C6">
        <w:t xml:space="preserve">, </w:t>
      </w:r>
      <w:r w:rsidRPr="005055C6">
        <w:rPr>
          <w:i/>
        </w:rPr>
        <w:t>9</w:t>
      </w:r>
      <w:r w:rsidRPr="005055C6">
        <w:t xml:space="preserve"> (8), 080901. DOI: 10.1063/5.0222890 (acccessed 12/17/2025).</w:t>
      </w:r>
    </w:p>
    <w:p w14:paraId="6A782682" w14:textId="77777777" w:rsidR="005055C6" w:rsidRPr="005055C6" w:rsidRDefault="005055C6" w:rsidP="005055C6">
      <w:pPr>
        <w:pStyle w:val="EndNoteBibliography"/>
        <w:spacing w:after="0"/>
      </w:pPr>
      <w:r w:rsidRPr="005055C6">
        <w:t xml:space="preserve">(10) Chang, Y.-C.; Wägli, P.; Paeder, V.; Homsy, A.; Hvozdara, L.; van der Wal, P.; Di Francesco, J.; de Rooij, N. F.; Peter Herzig, H. Cocaine detection by a mid-infrared waveguide integrated with a microfluidic chip. </w:t>
      </w:r>
      <w:r w:rsidRPr="005055C6">
        <w:rPr>
          <w:i/>
        </w:rPr>
        <w:t xml:space="preserve">Lab on a Chip </w:t>
      </w:r>
      <w:r w:rsidRPr="005055C6">
        <w:rPr>
          <w:b/>
        </w:rPr>
        <w:t>2012</w:t>
      </w:r>
      <w:r w:rsidRPr="005055C6">
        <w:t xml:space="preserve">, </w:t>
      </w:r>
      <w:r w:rsidRPr="005055C6">
        <w:rPr>
          <w:i/>
        </w:rPr>
        <w:t>12</w:t>
      </w:r>
      <w:r w:rsidRPr="005055C6">
        <w:t xml:space="preserve"> (17), 3020-3023, 10.1039/C2LC40601B. DOI: 10.1039/C2LC40601B.</w:t>
      </w:r>
    </w:p>
    <w:p w14:paraId="42BE451A" w14:textId="77777777" w:rsidR="005055C6" w:rsidRPr="005055C6" w:rsidRDefault="005055C6" w:rsidP="005055C6">
      <w:pPr>
        <w:pStyle w:val="EndNoteBibliography"/>
        <w:spacing w:after="0"/>
      </w:pPr>
      <w:r w:rsidRPr="005055C6">
        <w:t xml:space="preserve">(11) Wägli, P.; Chang, Y. C.; Homsy, A.; Hvozdara, L.; Herzig, H. P.; De Rooij, N. F. Microfluidic droplet-based liquid-liquid extraction and on-chip IR spectroscopy detection of cocaine in human saliva. </w:t>
      </w:r>
      <w:r w:rsidRPr="005055C6">
        <w:rPr>
          <w:i/>
        </w:rPr>
        <w:t xml:space="preserve">Analytical Chemistry </w:t>
      </w:r>
      <w:r w:rsidRPr="005055C6">
        <w:rPr>
          <w:b/>
        </w:rPr>
        <w:t>2013</w:t>
      </w:r>
      <w:r w:rsidRPr="005055C6">
        <w:t xml:space="preserve">, </w:t>
      </w:r>
      <w:r w:rsidRPr="005055C6">
        <w:rPr>
          <w:i/>
        </w:rPr>
        <w:t>85</w:t>
      </w:r>
      <w:r w:rsidRPr="005055C6">
        <w:t xml:space="preserve"> (15), 7558-7565, Article. DOI: 10.1021/ac401606p Scopus.</w:t>
      </w:r>
    </w:p>
    <w:p w14:paraId="0DDC4485" w14:textId="77777777" w:rsidR="005055C6" w:rsidRPr="005055C6" w:rsidRDefault="005055C6" w:rsidP="005055C6">
      <w:pPr>
        <w:pStyle w:val="EndNoteBibliography"/>
        <w:spacing w:after="0"/>
      </w:pPr>
      <w:r w:rsidRPr="005055C6">
        <w:t xml:space="preserve">(12) Rowe, D. J.; Smith, D.; Wilkinson, J. S. Complex refractive index spectra of whole blood and aqueous solutions of anticoagulants, analgesics and buffers in the mid-infrared. </w:t>
      </w:r>
      <w:r w:rsidRPr="005055C6">
        <w:rPr>
          <w:i/>
        </w:rPr>
        <w:t xml:space="preserve">Scientific Reports </w:t>
      </w:r>
      <w:r w:rsidRPr="005055C6">
        <w:rPr>
          <w:b/>
        </w:rPr>
        <w:t>2017</w:t>
      </w:r>
      <w:r w:rsidRPr="005055C6">
        <w:t xml:space="preserve">, </w:t>
      </w:r>
      <w:r w:rsidRPr="005055C6">
        <w:rPr>
          <w:i/>
        </w:rPr>
        <w:t>7</w:t>
      </w:r>
      <w:r w:rsidRPr="005055C6">
        <w:t>, 7356.</w:t>
      </w:r>
    </w:p>
    <w:p w14:paraId="47D5E1DB" w14:textId="77777777" w:rsidR="005055C6" w:rsidRPr="005055C6" w:rsidRDefault="005055C6" w:rsidP="005055C6">
      <w:pPr>
        <w:pStyle w:val="EndNoteBibliography"/>
        <w:spacing w:after="0"/>
      </w:pPr>
      <w:r w:rsidRPr="005055C6">
        <w:t xml:space="preserve">(13) Dong, P.; Li, K.; Rowe, D. J.; Krauss, T. F.; Wang, Y. Protocol for Therapeutic Drug Monitoring Within the Clinical Range Using Mid-infrared Spectroscopy. </w:t>
      </w:r>
      <w:r w:rsidRPr="005055C6">
        <w:rPr>
          <w:i/>
        </w:rPr>
        <w:t xml:space="preserve">Analytical Chemistry </w:t>
      </w:r>
      <w:r w:rsidRPr="005055C6">
        <w:rPr>
          <w:b/>
        </w:rPr>
        <w:t>2024</w:t>
      </w:r>
      <w:r w:rsidRPr="005055C6">
        <w:t xml:space="preserve">, </w:t>
      </w:r>
      <w:r w:rsidRPr="005055C6">
        <w:rPr>
          <w:i/>
        </w:rPr>
        <w:t>96</w:t>
      </w:r>
      <w:r w:rsidRPr="005055C6">
        <w:t xml:space="preserve"> (48), 19021-19028. DOI: 10.1021/acs.analchem.4c03864.</w:t>
      </w:r>
    </w:p>
    <w:p w14:paraId="52E935F4" w14:textId="77777777" w:rsidR="005055C6" w:rsidRPr="005055C6" w:rsidRDefault="005055C6" w:rsidP="005055C6">
      <w:pPr>
        <w:pStyle w:val="EndNoteBibliography"/>
        <w:spacing w:after="0"/>
      </w:pPr>
      <w:r w:rsidRPr="005055C6">
        <w:lastRenderedPageBreak/>
        <w:t xml:space="preserve">(14) Al-Roubaie, Z.; Guadagno, E.; Ramanakumar, A. V.; Khan, A. Q.; Myers, K. A. Clinical utility of therapeutic drug monitoring of antiepileptic drugs: Systematic review. </w:t>
      </w:r>
      <w:r w:rsidRPr="005055C6">
        <w:rPr>
          <w:i/>
        </w:rPr>
        <w:t xml:space="preserve">Neurology Clinical Practice </w:t>
      </w:r>
      <w:r w:rsidRPr="005055C6">
        <w:rPr>
          <w:b/>
        </w:rPr>
        <w:t>2020</w:t>
      </w:r>
      <w:r w:rsidRPr="005055C6">
        <w:t xml:space="preserve">, </w:t>
      </w:r>
      <w:r w:rsidRPr="005055C6">
        <w:rPr>
          <w:i/>
        </w:rPr>
        <w:t>10</w:t>
      </w:r>
      <w:r w:rsidRPr="005055C6">
        <w:t xml:space="preserve"> (4), 344-355. DOI: 10.1212/cpj.0000000000000722  From NLM.</w:t>
      </w:r>
    </w:p>
    <w:p w14:paraId="5D227ABD" w14:textId="77777777" w:rsidR="005055C6" w:rsidRPr="005055C6" w:rsidRDefault="005055C6" w:rsidP="005055C6">
      <w:pPr>
        <w:pStyle w:val="EndNoteBibliography"/>
      </w:pPr>
      <w:r w:rsidRPr="005055C6">
        <w:t xml:space="preserve">(15) Johannessen Landmark, C.; Johannessen, S. I.; Patsalos, P. N. Therapeutic drug monitoring of antiepileptic drugs: current status and future prospects. </w:t>
      </w:r>
      <w:r w:rsidRPr="005055C6">
        <w:rPr>
          <w:i/>
        </w:rPr>
        <w:t xml:space="preserve">Expert Opinion on Drug Metabolism &amp; Toxicology </w:t>
      </w:r>
      <w:r w:rsidRPr="005055C6">
        <w:rPr>
          <w:b/>
        </w:rPr>
        <w:t>2020</w:t>
      </w:r>
      <w:r w:rsidRPr="005055C6">
        <w:t xml:space="preserve">, </w:t>
      </w:r>
      <w:r w:rsidRPr="005055C6">
        <w:rPr>
          <w:i/>
        </w:rPr>
        <w:t>16</w:t>
      </w:r>
      <w:r w:rsidRPr="005055C6">
        <w:t xml:space="preserve"> (3), 227-238. DOI: 10.1080/17425255.2020.1724956.</w:t>
      </w:r>
    </w:p>
    <w:p w14:paraId="16D69C92" w14:textId="5CAB3806" w:rsidR="009246AD" w:rsidRDefault="009D50DD" w:rsidP="000B5610">
      <w:pPr>
        <w:pStyle w:val="SNSynopsisTOC"/>
        <w:spacing w:after="240"/>
        <w:jc w:val="left"/>
      </w:pPr>
      <w:r>
        <w:fldChar w:fldCharType="end"/>
      </w:r>
    </w:p>
    <w:sectPr w:rsidR="009246AD" w:rsidSect="000B5610">
      <w:headerReference w:type="default" r:id="rId20"/>
      <w:footerReference w:type="even" r:id="rId21"/>
      <w:footerReference w:type="default" r:id="rId22"/>
      <w:type w:val="continuous"/>
      <w:pgSz w:w="12240" w:h="15840"/>
      <w:pgMar w:top="1440" w:right="1440" w:bottom="1440" w:left="1440" w:header="0" w:footer="0" w:gutter="0"/>
      <w:cols w:space="475"/>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ames Wilkinson" w:date="2026-02-01T16:06:00Z" w:initials="JW">
    <w:p w14:paraId="629122FC" w14:textId="77777777" w:rsidR="003E5093" w:rsidRDefault="003E5093" w:rsidP="003E5093">
      <w:pPr>
        <w:pStyle w:val="CommentText"/>
        <w:jc w:val="left"/>
      </w:pPr>
      <w:r>
        <w:rPr>
          <w:rStyle w:val="CommentReference"/>
        </w:rPr>
        <w:annotationRef/>
      </w:r>
      <w:r>
        <w:t>ACS Photonics is prob good but ACS Sensors might be more relevant?</w:t>
      </w:r>
    </w:p>
  </w:comment>
  <w:comment w:id="1" w:author="James Wilkinson" w:date="2026-02-01T16:09:00Z" w:initials="JW">
    <w:p w14:paraId="5DB53AE1" w14:textId="77777777" w:rsidR="003E5093" w:rsidRDefault="003E5093" w:rsidP="003E5093">
      <w:pPr>
        <w:pStyle w:val="CommentText"/>
        <w:jc w:val="left"/>
      </w:pPr>
      <w:r>
        <w:rPr>
          <w:rStyle w:val="CommentReference"/>
        </w:rPr>
        <w:annotationRef/>
      </w:r>
      <w:r>
        <w:t>I wonder if this should be cut so it reads “This validates the use…” It is a more direct statement and doesn’t tell the reader whether to find something important or not.</w:t>
      </w:r>
    </w:p>
  </w:comment>
  <w:comment w:id="2" w:author="Saul Faust" w:date="2025-12-24T00:28:00Z" w:initials="SF">
    <w:p w14:paraId="4D1F12CA" w14:textId="77777777" w:rsidR="001D5411" w:rsidRDefault="001D5411" w:rsidP="001D5411">
      <w:pPr>
        <w:pStyle w:val="CommentText"/>
        <w:jc w:val="left"/>
      </w:pPr>
      <w:r>
        <w:rPr>
          <w:rStyle w:val="CommentReference"/>
        </w:rPr>
        <w:annotationRef/>
      </w:r>
      <w:r>
        <w:rPr>
          <w:lang w:val="en-GB"/>
        </w:rPr>
        <w:t>Although the sentence says “too high” or “too low”, the data here in the abstract only really addresses the “too low”. Is a sentence missing re consistently spectra allowing accurate level monitoring from x (lower) to y (upper) boundaries?</w:t>
      </w:r>
    </w:p>
  </w:comment>
  <w:comment w:id="3" w:author="Milos Nedeljkovic" w:date="2025-12-18T11:04:00Z" w:initials="MN">
    <w:p w14:paraId="355C4EE3" w14:textId="71C2730C" w:rsidR="00777E7D" w:rsidRDefault="00777E7D" w:rsidP="00777E7D">
      <w:pPr>
        <w:jc w:val="left"/>
      </w:pPr>
      <w:r>
        <w:rPr>
          <w:rStyle w:val="CommentReference"/>
        </w:rPr>
        <w:annotationRef/>
      </w:r>
      <w:r>
        <w:rPr>
          <w:sz w:val="20"/>
        </w:rPr>
        <w:t>This is phrased confusingly ... it sounds like the concentration is too high and too low at the same time.</w:t>
      </w:r>
    </w:p>
  </w:comment>
  <w:comment w:id="4" w:author="Milos Nedeljkovic" w:date="2025-12-18T11:05:00Z" w:initials="MN">
    <w:p w14:paraId="483D423A" w14:textId="77777777" w:rsidR="00321F02" w:rsidRDefault="00321F02" w:rsidP="00321F02">
      <w:pPr>
        <w:jc w:val="left"/>
      </w:pPr>
      <w:r>
        <w:rPr>
          <w:rStyle w:val="CommentReference"/>
        </w:rPr>
        <w:annotationRef/>
      </w:r>
      <w:r>
        <w:rPr>
          <w:sz w:val="20"/>
        </w:rPr>
        <w:t>"mediation" or "medication"?</w:t>
      </w:r>
    </w:p>
  </w:comment>
  <w:comment w:id="5" w:author="Dan Owens" w:date="2025-12-17T17:37:00Z" w:initials="DO">
    <w:p w14:paraId="7F260158" w14:textId="5632D9A6" w:rsidR="0066682C" w:rsidRDefault="0066682C">
      <w:r>
        <w:annotationRef/>
      </w:r>
      <w:r w:rsidRPr="7485C86E">
        <w:t>Worth highlighting given the government emphasis on community care.</w:t>
      </w:r>
    </w:p>
  </w:comment>
  <w:comment w:id="6" w:author="Milos Nedeljkovic" w:date="2025-12-18T11:12:00Z" w:initials="MN">
    <w:p w14:paraId="2290E46D" w14:textId="77777777" w:rsidR="0029661D" w:rsidRDefault="0029661D" w:rsidP="0029661D">
      <w:pPr>
        <w:jc w:val="left"/>
      </w:pPr>
      <w:r>
        <w:rPr>
          <w:rStyle w:val="CommentReference"/>
        </w:rPr>
        <w:annotationRef/>
      </w:r>
      <w:r>
        <w:rPr>
          <w:sz w:val="20"/>
        </w:rPr>
        <w:t>The waveguide height and etch depth should also be provided</w:t>
      </w:r>
    </w:p>
  </w:comment>
  <w:comment w:id="7" w:author="Milos Nedeljkovic" w:date="2025-12-18T11:11:00Z" w:initials="MN">
    <w:p w14:paraId="7502EB20" w14:textId="77777777" w:rsidR="00053FDC" w:rsidRDefault="00053FDC" w:rsidP="00053FDC">
      <w:pPr>
        <w:jc w:val="left"/>
      </w:pPr>
      <w:r>
        <w:rPr>
          <w:rStyle w:val="CommentReference"/>
        </w:rPr>
        <w:annotationRef/>
      </w:r>
      <w:r>
        <w:rPr>
          <w:sz w:val="20"/>
        </w:rPr>
        <w:t>We can provide a simulated loss here.</w:t>
      </w:r>
    </w:p>
  </w:comment>
  <w:comment w:id="8" w:author="James Wilkinson" w:date="2026-02-01T16:19:00Z" w:initials="JW">
    <w:p w14:paraId="33AE792E" w14:textId="77777777" w:rsidR="0019693E" w:rsidRDefault="0019693E" w:rsidP="0019693E">
      <w:pPr>
        <w:pStyle w:val="CommentText"/>
        <w:jc w:val="left"/>
      </w:pPr>
      <w:r>
        <w:rPr>
          <w:rStyle w:val="CommentReference"/>
        </w:rPr>
        <w:annotationRef/>
      </w:r>
      <w:r>
        <w:t xml:space="preserve">I found this difficult to follow, even after seeing the diagram (which they should probably have their attention drawn to earlier). I wasn’t sure what the 40 micron wide trenches were and how they related to the large obround well in the diagram. It also sounds like there were two etches performed to the same depth. Is that right? I think a bit more clarity (perhaps in the diagram) would help. Although as it didn’t really work maybe it could be even reduced to “An obround well was etched for fluid confinement and the photonic circuit was designed to that waveguides of various lengths…” That way expectations aren’t raised! </w:t>
      </w:r>
    </w:p>
  </w:comment>
  <w:comment w:id="10" w:author="Goran Mashanovich" w:date="2025-12-24T21:08:00Z" w:initials="GM">
    <w:p w14:paraId="5A9082E5" w14:textId="584B31B3" w:rsidR="0024392B" w:rsidRDefault="0024392B">
      <w:pPr>
        <w:pStyle w:val="CommentText"/>
      </w:pPr>
      <w:r>
        <w:rPr>
          <w:rStyle w:val="CommentReference"/>
        </w:rPr>
        <w:annotationRef/>
      </w:r>
      <w:r w:rsidRPr="6A8F0D69">
        <w:t xml:space="preserve">1.4 or 1.8 um? </w:t>
      </w:r>
    </w:p>
  </w:comment>
  <w:comment w:id="12" w:author="Milos Nedeljkovic" w:date="2025-12-18T11:16:00Z" w:initials="MN">
    <w:p w14:paraId="352772C5" w14:textId="77777777" w:rsidR="003B23E8" w:rsidRDefault="007C0436" w:rsidP="003B23E8">
      <w:pPr>
        <w:jc w:val="left"/>
      </w:pPr>
      <w:r>
        <w:rPr>
          <w:rStyle w:val="CommentReference"/>
        </w:rPr>
        <w:annotationRef/>
      </w:r>
      <w:r w:rsidR="003B23E8">
        <w:rPr>
          <w:sz w:val="20"/>
        </w:rPr>
        <w:t>Was this a Cornerstone MPW run? If yes I suggest mentioning it.</w:t>
      </w:r>
    </w:p>
  </w:comment>
  <w:comment w:id="11" w:author="James Wilkinson" w:date="2026-02-01T16:22:00Z" w:initials="JW">
    <w:p w14:paraId="19DE1DD6" w14:textId="77777777" w:rsidR="0019693E" w:rsidRDefault="0019693E" w:rsidP="0019693E">
      <w:pPr>
        <w:pStyle w:val="CommentText"/>
        <w:jc w:val="left"/>
      </w:pPr>
      <w:r>
        <w:rPr>
          <w:rStyle w:val="CommentReference"/>
        </w:rPr>
        <w:annotationRef/>
      </w:r>
      <w:r>
        <w:t>This seems to come a bit late as you have already talked about etching. Perhaps up to here it is a bit confusing where you are discussing design and where fabrication. Maybe design should come first then fabrication starting with this statement and going on to the etching etc? Or make it clear that the paras before were all about design?</w:t>
      </w:r>
    </w:p>
  </w:comment>
  <w:comment w:id="13" w:author="Milos Nedeljkovic" w:date="2025-12-18T11:49:00Z" w:initials="MN">
    <w:p w14:paraId="436F7C04" w14:textId="0967EF49" w:rsidR="00DC4F6C" w:rsidRDefault="00576A0D" w:rsidP="00DC4F6C">
      <w:pPr>
        <w:jc w:val="left"/>
      </w:pPr>
      <w:r>
        <w:rPr>
          <w:rStyle w:val="CommentReference"/>
        </w:rPr>
        <w:annotationRef/>
      </w:r>
      <w:r w:rsidR="00DC4F6C">
        <w:rPr>
          <w:sz w:val="20"/>
        </w:rPr>
        <w:fldChar w:fldCharType="begin"/>
      </w:r>
      <w:r w:rsidR="00DC4F6C">
        <w:rPr>
          <w:sz w:val="20"/>
        </w:rPr>
        <w:instrText>HYPERLINK "mailto:dr1y11@soton.ac.uk"</w:instrText>
      </w:r>
      <w:r w:rsidR="00DC4F6C">
        <w:rPr>
          <w:sz w:val="20"/>
        </w:rPr>
      </w:r>
      <w:bookmarkStart w:id="14" w:name="_@_CC43984311C7604C8A2E9CEC1BB60B75Z"/>
      <w:r w:rsidR="00DC4F6C">
        <w:rPr>
          <w:sz w:val="20"/>
        </w:rPr>
        <w:fldChar w:fldCharType="separate"/>
      </w:r>
      <w:bookmarkEnd w:id="14"/>
      <w:r w:rsidR="00DC4F6C" w:rsidRPr="00DC4F6C">
        <w:rPr>
          <w:rStyle w:val="Mention"/>
          <w:noProof/>
          <w:sz w:val="20"/>
        </w:rPr>
        <w:t>@Dave Rowe</w:t>
      </w:r>
      <w:r w:rsidR="00DC4F6C">
        <w:rPr>
          <w:sz w:val="20"/>
        </w:rPr>
        <w:fldChar w:fldCharType="end"/>
      </w:r>
      <w:r w:rsidR="00DC4F6C">
        <w:rPr>
          <w:sz w:val="20"/>
        </w:rPr>
        <w:t xml:space="preserve"> Do you think that it would make sense to include more information about the total optical system? What's the laser power, detector D*, optical power budget, waveguide total insertion loss? For the discussion, what's the main noise limitation? My feeling is that the sensing is covered well, but the photonics is missing a little bit, but we are planning to submit to ACS Photonics.</w:t>
      </w:r>
    </w:p>
  </w:comment>
  <w:comment w:id="15" w:author="James Wilkinson" w:date="2026-02-01T16:25:00Z" w:initials="JW">
    <w:p w14:paraId="23662D98" w14:textId="77777777" w:rsidR="0019693E" w:rsidRDefault="0019693E" w:rsidP="0019693E">
      <w:pPr>
        <w:pStyle w:val="CommentText"/>
        <w:jc w:val="left"/>
      </w:pPr>
      <w:r>
        <w:rPr>
          <w:rStyle w:val="CommentReference"/>
        </w:rPr>
        <w:annotationRef/>
      </w:r>
      <w:r>
        <w:t>Maybe I am old-fashioned but I would prefer to have “objective lens” (and in other places).</w:t>
      </w:r>
    </w:p>
  </w:comment>
  <w:comment w:id="16" w:author="James Wilkinson" w:date="2026-02-01T16:29:00Z" w:initials="JW">
    <w:p w14:paraId="7091208C" w14:textId="77777777" w:rsidR="00416107" w:rsidRDefault="00416107" w:rsidP="00416107">
      <w:pPr>
        <w:pStyle w:val="CommentText"/>
        <w:jc w:val="left"/>
      </w:pPr>
      <w:r>
        <w:rPr>
          <w:rStyle w:val="CommentReference"/>
        </w:rPr>
        <w:annotationRef/>
      </w:r>
      <w:r>
        <w:t xml:space="preserve">I think it would be useful to say what the SQRT Hz refers to. I imagine it is receiver bandwidth and it would be good to state what this was. Does it relate at all to the 40Hz on the next page? </w:t>
      </w:r>
    </w:p>
  </w:comment>
  <w:comment w:id="17" w:author="James Wilkinson" w:date="2026-02-01T16:30:00Z" w:initials="JW">
    <w:p w14:paraId="2FED2418" w14:textId="77777777" w:rsidR="00416107" w:rsidRDefault="00416107" w:rsidP="00416107">
      <w:pPr>
        <w:pStyle w:val="CommentText"/>
        <w:jc w:val="left"/>
      </w:pPr>
      <w:r>
        <w:rPr>
          <w:rStyle w:val="CommentReference"/>
        </w:rPr>
        <w:annotationRef/>
      </w:r>
      <w:r>
        <w:t>Seems quite long. Do you think that fluctuations in absorption could have had any effect on the noise (or LoD??</w:t>
      </w:r>
    </w:p>
  </w:comment>
  <w:comment w:id="18" w:author="James Wilkinson" w:date="2026-02-01T16:31:00Z" w:initials="JW">
    <w:p w14:paraId="09556588" w14:textId="77777777" w:rsidR="00416107" w:rsidRDefault="00416107" w:rsidP="00416107">
      <w:pPr>
        <w:pStyle w:val="CommentText"/>
        <w:jc w:val="left"/>
      </w:pPr>
      <w:r>
        <w:rPr>
          <w:rStyle w:val="CommentReference"/>
        </w:rPr>
        <w:annotationRef/>
      </w:r>
      <w:r>
        <w:t>I think it would be better to insert “laser” or just write “laser” rather than a trade name.</w:t>
      </w:r>
    </w:p>
  </w:comment>
  <w:comment w:id="19" w:author="James Wilkinson" w:date="2026-02-01T16:40:00Z" w:initials="JW">
    <w:p w14:paraId="5153E76C" w14:textId="77777777" w:rsidR="0028797C" w:rsidRDefault="0028797C" w:rsidP="0028797C">
      <w:pPr>
        <w:pStyle w:val="CommentText"/>
        <w:jc w:val="left"/>
      </w:pPr>
      <w:r>
        <w:rPr>
          <w:rStyle w:val="CommentReference"/>
        </w:rPr>
        <w:annotationRef/>
      </w:r>
      <w:r>
        <w:t>Was this for all waveguides on all chips, or an average? Might also need more info on how the insertion loss was measured. If you have the incident power, the loss, the noise and the detectivity then it may be possible to put a power budget and noise analysis together which supports the LoD? Perhaps what Milos would like. Though you would he to have absolute units for the power/absorption, not AU.</w:t>
      </w:r>
    </w:p>
  </w:comment>
  <w:comment w:id="21" w:author="James Wilkinson" w:date="2026-02-01T16:42:00Z" w:initials="JW">
    <w:p w14:paraId="1D830C05" w14:textId="77777777" w:rsidR="0028797C" w:rsidRDefault="0028797C" w:rsidP="0028797C">
      <w:pPr>
        <w:pStyle w:val="CommentText"/>
        <w:jc w:val="left"/>
      </w:pPr>
      <w:r>
        <w:rPr>
          <w:rStyle w:val="CommentReference"/>
        </w:rPr>
        <w:annotationRef/>
      </w:r>
      <w:r>
        <w:t>Do we need to comment on whether this is OK for fast clinical use?</w:t>
      </w:r>
    </w:p>
  </w:comment>
  <w:comment w:id="22" w:author="Milos Nedeljkovic" w:date="2025-12-18T11:39:00Z" w:initials="MN">
    <w:p w14:paraId="6816DD64" w14:textId="77777777" w:rsidR="00223221" w:rsidRDefault="00223221" w:rsidP="00223221">
      <w:pPr>
        <w:jc w:val="left"/>
      </w:pPr>
      <w:r>
        <w:rPr>
          <w:rStyle w:val="CommentReference"/>
        </w:rPr>
        <w:annotationRef/>
      </w:r>
      <w:r>
        <w:rPr>
          <w:sz w:val="20"/>
        </w:rPr>
        <w:t>I don't think you've said whether you're re-using the same waveguides, or whether you're using different copies of the  chip</w:t>
      </w:r>
    </w:p>
  </w:comment>
  <w:comment w:id="23" w:author="Milos Nedeljkovic" w:date="2025-12-18T11:30:00Z" w:initials="MN">
    <w:p w14:paraId="60F44A07" w14:textId="4D875C3A" w:rsidR="00374874" w:rsidRDefault="00374874" w:rsidP="00374874">
      <w:pPr>
        <w:jc w:val="left"/>
      </w:pPr>
      <w:r>
        <w:rPr>
          <w:rStyle w:val="CommentReference"/>
        </w:rPr>
        <w:annotationRef/>
      </w:r>
      <w:r>
        <w:rPr>
          <w:sz w:val="20"/>
        </w:rPr>
        <w:t>How long did this take for each sample, approximately?</w:t>
      </w:r>
    </w:p>
  </w:comment>
  <w:comment w:id="24" w:author="James Wilkinson" w:date="2026-02-01T16:44:00Z" w:initials="JW">
    <w:p w14:paraId="29E1FA87" w14:textId="77777777" w:rsidR="0028797C" w:rsidRDefault="0028797C" w:rsidP="0028797C">
      <w:pPr>
        <w:pStyle w:val="CommentText"/>
        <w:jc w:val="left"/>
      </w:pPr>
      <w:r>
        <w:rPr>
          <w:rStyle w:val="CommentReference"/>
        </w:rPr>
        <w:annotationRef/>
      </w:r>
      <w:r>
        <w:t>Was this done for every waveguide?</w:t>
      </w:r>
    </w:p>
  </w:comment>
  <w:comment w:id="25" w:author="James Wilkinson" w:date="2026-02-01T16:52:00Z" w:initials="JW">
    <w:p w14:paraId="31D9F999" w14:textId="77777777" w:rsidR="0042225F" w:rsidRDefault="0042225F" w:rsidP="0042225F">
      <w:pPr>
        <w:pStyle w:val="CommentText"/>
        <w:jc w:val="left"/>
      </w:pPr>
      <w:r>
        <w:rPr>
          <w:rStyle w:val="CommentReference"/>
        </w:rPr>
        <w:annotationRef/>
      </w:r>
      <w:r>
        <w:t>Well, I am sure this was the intention but it didn’t really work out, so maybe rephrase just “To determine the limit of detection and observe dependence on waveguide length”. Might soften it a bit? Also, I am not sure whether the reader is interested in efficient use of lab time, even if it helps explain why only some waveguides were measured&gt;</w:t>
      </w:r>
    </w:p>
  </w:comment>
  <w:comment w:id="26" w:author="Milos Nedeljkovic" w:date="2025-12-18T11:24:00Z" w:initials="MN">
    <w:p w14:paraId="59F927CF" w14:textId="2724543C" w:rsidR="00E66E1B" w:rsidRDefault="00E66E1B" w:rsidP="00E66E1B">
      <w:pPr>
        <w:jc w:val="left"/>
      </w:pPr>
      <w:r>
        <w:rPr>
          <w:rStyle w:val="CommentReference"/>
        </w:rPr>
        <w:annotationRef/>
      </w:r>
      <w:r>
        <w:rPr>
          <w:sz w:val="20"/>
        </w:rPr>
        <w:t>What were the total waveguide lengths outside of the interaction region?</w:t>
      </w:r>
    </w:p>
  </w:comment>
  <w:comment w:id="27" w:author="Milos Nedeljkovic" w:date="2025-12-18T11:35:00Z" w:initials="MN">
    <w:p w14:paraId="7BC75A63" w14:textId="77777777" w:rsidR="00033C5A" w:rsidRDefault="00033C5A" w:rsidP="00033C5A">
      <w:pPr>
        <w:jc w:val="left"/>
      </w:pPr>
      <w:r>
        <w:rPr>
          <w:rStyle w:val="CommentReference"/>
        </w:rPr>
        <w:annotationRef/>
      </w:r>
      <w:r>
        <w:rPr>
          <w:sz w:val="20"/>
        </w:rPr>
        <w:t>Is more detail needed? E.g. how many repeated measurements?</w:t>
      </w:r>
    </w:p>
  </w:comment>
  <w:comment w:id="29" w:author="James Wilkinson" w:date="2026-02-01T16:59:00Z" w:initials="JW">
    <w:p w14:paraId="0197BBAE" w14:textId="77777777" w:rsidR="004A3245" w:rsidRDefault="004A3245" w:rsidP="004A3245">
      <w:pPr>
        <w:pStyle w:val="CommentText"/>
        <w:jc w:val="left"/>
      </w:pPr>
      <w:r>
        <w:rPr>
          <w:rStyle w:val="CommentReference"/>
        </w:rPr>
        <w:annotationRef/>
      </w:r>
      <w:r>
        <w:t xml:space="preserve">Is this arbitrary units or absorbance units? If it was calculated as 10 log ratio of reference to sample then it doesn’t have to be arbitrary and one should be able to determine absolute power on the detector from this, the laser power and the waveguide loss? Or has some other normalisation been done?. </w:t>
      </w:r>
    </w:p>
  </w:comment>
  <w:comment w:id="30" w:author="Milos Nedeljkovic" w:date="2025-12-18T11:29:00Z" w:initials="MN">
    <w:p w14:paraId="1D008AA9" w14:textId="002C9EA2" w:rsidR="00FF2BB6" w:rsidRDefault="00FF2BB6" w:rsidP="00FF2BB6">
      <w:pPr>
        <w:jc w:val="left"/>
      </w:pPr>
      <w:r>
        <w:rPr>
          <w:rStyle w:val="CommentReference"/>
        </w:rPr>
        <w:annotationRef/>
      </w:r>
      <w:r>
        <w:rPr>
          <w:sz w:val="20"/>
        </w:rPr>
        <w:t>Can you have both? you could write "length=??mm" on the second line of the legend</w:t>
      </w:r>
    </w:p>
  </w:comment>
  <w:comment w:id="31" w:author="Milos Nedeljkovic" w:date="2025-12-18T11:32:00Z" w:initials="MN">
    <w:p w14:paraId="70670834" w14:textId="77777777" w:rsidR="00BB0CE3" w:rsidRDefault="00E6281C" w:rsidP="00BB0CE3">
      <w:pPr>
        <w:jc w:val="left"/>
      </w:pPr>
      <w:r>
        <w:rPr>
          <w:rStyle w:val="CommentReference"/>
        </w:rPr>
        <w:annotationRef/>
      </w:r>
      <w:r w:rsidR="00BB0CE3">
        <w:rPr>
          <w:sz w:val="20"/>
        </w:rPr>
        <w:t>Do you need to say how many? I'm not sure I understand what the measurement of each aliquot is</w:t>
      </w:r>
    </w:p>
  </w:comment>
  <w:comment w:id="33" w:author="Milos Nedeljkovic" w:date="2025-12-18T11:26:00Z" w:initials="MN">
    <w:p w14:paraId="37515F98" w14:textId="6DF955AA" w:rsidR="00717A04" w:rsidRDefault="00717A04" w:rsidP="00717A04">
      <w:pPr>
        <w:jc w:val="left"/>
      </w:pPr>
      <w:r>
        <w:rPr>
          <w:rStyle w:val="CommentReference"/>
        </w:rPr>
        <w:annotationRef/>
      </w:r>
      <w:r>
        <w:rPr>
          <w:sz w:val="20"/>
        </w:rPr>
        <w:t>Is AUC defined?</w:t>
      </w:r>
    </w:p>
  </w:comment>
  <w:comment w:id="34" w:author="James Wilkinson" w:date="2026-02-01T17:02:00Z" w:initials="JW">
    <w:p w14:paraId="64ADD16F" w14:textId="77777777" w:rsidR="004A3245" w:rsidRDefault="004A3245" w:rsidP="004A3245">
      <w:pPr>
        <w:pStyle w:val="CommentText"/>
        <w:jc w:val="left"/>
      </w:pPr>
      <w:r>
        <w:rPr>
          <w:rStyle w:val="CommentReference"/>
        </w:rPr>
        <w:annotationRef/>
      </w:r>
      <w:r>
        <w:t>This is a bit repetitive of the end of the results section. That might be OK, though they are quite close together.</w:t>
      </w:r>
    </w:p>
  </w:comment>
  <w:comment w:id="35" w:author="James Wilkinson" w:date="2026-02-01T17:05:00Z" w:initials="JW">
    <w:p w14:paraId="19D085B5" w14:textId="77777777" w:rsidR="004A3245" w:rsidRDefault="004A3245" w:rsidP="004A3245">
      <w:pPr>
        <w:pStyle w:val="CommentText"/>
        <w:jc w:val="left"/>
      </w:pPr>
      <w:r>
        <w:rPr>
          <w:rStyle w:val="CommentReference"/>
        </w:rPr>
        <w:annotationRef/>
      </w:r>
      <w:r>
        <w:t>I can’t quite work out the reason this would be. Can we put forward a suggestion. The concentration should be the same for the 3 aliquots, the waveguides may be different but I can’’t tell if this would cause this. Is it possibly variability in drying?</w:t>
      </w:r>
    </w:p>
  </w:comment>
  <w:comment w:id="36" w:author="James Wilkinson" w:date="2026-02-01T17:06:00Z" w:initials="JW">
    <w:p w14:paraId="45D92435" w14:textId="77777777" w:rsidR="004A3245" w:rsidRDefault="004A3245" w:rsidP="004A3245">
      <w:pPr>
        <w:pStyle w:val="CommentText"/>
        <w:jc w:val="left"/>
      </w:pPr>
      <w:r>
        <w:rPr>
          <w:rStyle w:val="CommentReference"/>
        </w:rPr>
        <w:annotationRef/>
      </w:r>
      <w:r>
        <w:t>Only meaningful if not arbitrary units?</w:t>
      </w:r>
    </w:p>
  </w:comment>
  <w:comment w:id="37" w:author="James Wilkinson" w:date="2026-02-01T17:17:00Z" w:initials="JW">
    <w:p w14:paraId="2AD8792B" w14:textId="77777777" w:rsidR="00CD6ACB" w:rsidRDefault="00CD6ACB" w:rsidP="00CD6ACB">
      <w:pPr>
        <w:pStyle w:val="CommentText"/>
        <w:jc w:val="left"/>
      </w:pPr>
      <w:r>
        <w:rPr>
          <w:rStyle w:val="CommentReference"/>
        </w:rPr>
        <w:annotationRef/>
      </w:r>
      <w:r>
        <w:t xml:space="preserve">I agree with Goran that it becomes a bit too negative from this point up to and including the para beginning “A third option” (which I would delete). Remember that you have proven that basically it works. Of course some things could be improved, they always can be, but I think a detailed exegesis of all the things that could be (or, dangerously, could have been) done better is not really necessary. I am happy to have a stab at reformulating this discussion if you would like me to). </w:t>
      </w:r>
    </w:p>
  </w:comment>
  <w:comment w:id="38" w:author="Milos Nedeljkovic" w:date="2025-12-18T11:43:00Z" w:initials="MN">
    <w:p w14:paraId="4A9989EC" w14:textId="77777777" w:rsidR="00274946" w:rsidRDefault="00274946" w:rsidP="00274946">
      <w:pPr>
        <w:jc w:val="left"/>
      </w:pPr>
      <w:r>
        <w:rPr>
          <w:rStyle w:val="CommentReference"/>
        </w:rPr>
        <w:annotationRef/>
      </w:r>
      <w:r>
        <w:rPr>
          <w:sz w:val="20"/>
        </w:rPr>
        <w:t>?</w:t>
      </w:r>
    </w:p>
  </w:comment>
  <w:comment w:id="39" w:author="James Wilkinson" w:date="2026-02-01T17:18:00Z" w:initials="JW">
    <w:p w14:paraId="2C29563E" w14:textId="77777777" w:rsidR="00CD6ACB" w:rsidRDefault="00CD6ACB" w:rsidP="00CD6ACB">
      <w:pPr>
        <w:pStyle w:val="CommentText"/>
        <w:jc w:val="left"/>
      </w:pPr>
      <w:r>
        <w:rPr>
          <w:rStyle w:val="CommentReference"/>
        </w:rPr>
        <w:annotationRef/>
      </w:r>
      <w:r>
        <w:t>May be true but too negative for a conclusion. Accentuate the positive!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9122FC" w15:done="0"/>
  <w15:commentEx w15:paraId="5DB53AE1" w15:done="1"/>
  <w15:commentEx w15:paraId="4D1F12CA" w15:done="1"/>
  <w15:commentEx w15:paraId="355C4EE3" w15:done="1"/>
  <w15:commentEx w15:paraId="483D423A" w15:done="1"/>
  <w15:commentEx w15:paraId="7F260158" w15:done="1"/>
  <w15:commentEx w15:paraId="2290E46D" w15:done="1"/>
  <w15:commentEx w15:paraId="7502EB20" w15:done="1"/>
  <w15:commentEx w15:paraId="33AE792E" w15:done="0"/>
  <w15:commentEx w15:paraId="5A9082E5" w15:done="1"/>
  <w15:commentEx w15:paraId="352772C5" w15:done="1"/>
  <w15:commentEx w15:paraId="19DE1DD6" w15:done="0"/>
  <w15:commentEx w15:paraId="436F7C04" w15:done="0"/>
  <w15:commentEx w15:paraId="23662D98" w15:done="1"/>
  <w15:commentEx w15:paraId="7091208C" w15:done="0"/>
  <w15:commentEx w15:paraId="2FED2418" w15:done="0"/>
  <w15:commentEx w15:paraId="09556588" w15:done="1"/>
  <w15:commentEx w15:paraId="5153E76C" w15:done="0"/>
  <w15:commentEx w15:paraId="1D830C05" w15:done="0"/>
  <w15:commentEx w15:paraId="6816DD64" w15:done="1"/>
  <w15:commentEx w15:paraId="60F44A07" w15:done="1"/>
  <w15:commentEx w15:paraId="29E1FA87" w15:done="1"/>
  <w15:commentEx w15:paraId="31D9F999" w15:done="0"/>
  <w15:commentEx w15:paraId="59F927CF" w15:done="1"/>
  <w15:commentEx w15:paraId="7BC75A63" w15:done="1"/>
  <w15:commentEx w15:paraId="0197BBAE" w15:done="0"/>
  <w15:commentEx w15:paraId="1D008AA9" w15:done="1"/>
  <w15:commentEx w15:paraId="70670834" w15:done="1"/>
  <w15:commentEx w15:paraId="37515F98" w15:done="1"/>
  <w15:commentEx w15:paraId="64ADD16F" w15:done="0"/>
  <w15:commentEx w15:paraId="19D085B5" w15:done="0"/>
  <w15:commentEx w15:paraId="45D92435" w15:done="0"/>
  <w15:commentEx w15:paraId="2AD8792B" w15:done="0"/>
  <w15:commentEx w15:paraId="4A9989EC" w15:done="1"/>
  <w15:commentEx w15:paraId="2C29563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718034B2" w16cex:dateUtc="2026-02-01T16:06:00Z"/>
  <w16cex:commentExtensible w16cex:durableId="6B14CFE1" w16cex:dateUtc="2026-02-01T16:09:00Z"/>
  <w16cex:commentExtensible w16cex:durableId="61693CA0" w16cex:dateUtc="2025-12-24T00:28:00Z"/>
  <w16cex:commentExtensible w16cex:durableId="1E940AD2" w16cex:dateUtc="2025-12-18T11:04:00Z"/>
  <w16cex:commentExtensible w16cex:durableId="4BAD8CC0" w16cex:dateUtc="2025-12-18T11:05:00Z"/>
  <w16cex:commentExtensible w16cex:durableId="3C8AC207" w16cex:dateUtc="2025-12-17T17:37:00Z"/>
  <w16cex:commentExtensible w16cex:durableId="45E22F8C" w16cex:dateUtc="2025-12-18T11:12:00Z"/>
  <w16cex:commentExtensible w16cex:durableId="0B0D6DD1" w16cex:dateUtc="2025-12-18T11:11:00Z">
    <w16cex:extLst>
      <w16:ext w16:uri="{CE6994B0-6A32-4C9F-8C6B-6E91EDA988CE}">
        <cr:reactions xmlns:cr="http://schemas.microsoft.com/office/comments/2020/reactions">
          <cr:reaction reactionType="1">
            <cr:reactionInfo dateUtc="2025-12-24T20:10:16Z">
              <cr:user userId="S::gm1a11@soton.ac.uk::d6511406-9954-4b60-9e93-13f993703540" userProvider="AD" userName="Goran Mashanovich"/>
            </cr:reactionInfo>
          </cr:reaction>
        </cr:reactions>
      </w16:ext>
    </w16cex:extLst>
  </w16cex:commentExtensible>
  <w16cex:commentExtensible w16cex:durableId="797D72AC" w16cex:dateUtc="2026-02-01T16:19:00Z"/>
  <w16cex:commentExtensible w16cex:durableId="04977214" w16cex:dateUtc="2025-12-24T20:08:00Z"/>
  <w16cex:commentExtensible w16cex:durableId="027C3D8B" w16cex:dateUtc="2025-12-18T11:16:00Z"/>
  <w16cex:commentExtensible w16cex:durableId="0E196126" w16cex:dateUtc="2026-02-01T16:22:00Z"/>
  <w16cex:commentExtensible w16cex:durableId="448A1DF0" w16cex:dateUtc="2025-12-18T11:49:00Z">
    <w16cex:extLst>
      <w16:ext w16:uri="{CE6994B0-6A32-4C9F-8C6B-6E91EDA988CE}">
        <cr:reactions xmlns:cr="http://schemas.microsoft.com/office/comments/2020/reactions">
          <cr:reaction reactionType="1">
            <cr:reactionInfo dateUtc="2025-12-24T20:10:07Z">
              <cr:user userId="S::gm1a11@soton.ac.uk::d6511406-9954-4b60-9e93-13f993703540" userProvider="AD" userName="Goran Mashanovich"/>
            </cr:reactionInfo>
          </cr:reaction>
        </cr:reactions>
      </w16:ext>
    </w16cex:extLst>
  </w16cex:commentExtensible>
  <w16cex:commentExtensible w16cex:durableId="44492859" w16cex:dateUtc="2026-02-01T16:25:00Z"/>
  <w16cex:commentExtensible w16cex:durableId="3DA66F9C" w16cex:dateUtc="2026-02-01T16:29:00Z"/>
  <w16cex:commentExtensible w16cex:durableId="0E9EF8C2" w16cex:dateUtc="2026-02-01T16:30:00Z"/>
  <w16cex:commentExtensible w16cex:durableId="0B38DDEF" w16cex:dateUtc="2026-02-01T16:31:00Z"/>
  <w16cex:commentExtensible w16cex:durableId="34246EAE" w16cex:dateUtc="2026-02-01T16:40:00Z"/>
  <w16cex:commentExtensible w16cex:durableId="06501F7A" w16cex:dateUtc="2026-02-01T16:42:00Z"/>
  <w16cex:commentExtensible w16cex:durableId="6E8FEA15" w16cex:dateUtc="2025-12-18T11:39:00Z"/>
  <w16cex:commentExtensible w16cex:durableId="65F5EF28" w16cex:dateUtc="2025-12-18T11:30:00Z"/>
  <w16cex:commentExtensible w16cex:durableId="246BC461" w16cex:dateUtc="2026-02-01T16:44:00Z"/>
  <w16cex:commentExtensible w16cex:durableId="507195A7" w16cex:dateUtc="2026-02-01T16:52:00Z"/>
  <w16cex:commentExtensible w16cex:durableId="55413079" w16cex:dateUtc="2025-12-18T11:24:00Z"/>
  <w16cex:commentExtensible w16cex:durableId="410EBD84" w16cex:dateUtc="2025-12-18T11:35:00Z"/>
  <w16cex:commentExtensible w16cex:durableId="30295734" w16cex:dateUtc="2026-02-01T16:59:00Z"/>
  <w16cex:commentExtensible w16cex:durableId="0A90346F" w16cex:dateUtc="2025-12-18T11:29:00Z">
    <w16cex:extLst>
      <w16:ext w16:uri="{CE6994B0-6A32-4C9F-8C6B-6E91EDA988CE}">
        <cr:reactions xmlns:cr="http://schemas.microsoft.com/office/comments/2020/reactions">
          <cr:reaction reactionType="1">
            <cr:reactionInfo dateUtc="2025-12-26T04:22:59Z">
              <cr:user userId="S::gm1a11@soton.ac.uk::d6511406-9954-4b60-9e93-13f993703540" userProvider="AD" userName="Goran Mashanovich"/>
            </cr:reactionInfo>
          </cr:reaction>
        </cr:reactions>
      </w16:ext>
    </w16cex:extLst>
  </w16cex:commentExtensible>
  <w16cex:commentExtensible w16cex:durableId="37511715" w16cex:dateUtc="2025-12-18T11:32:00Z"/>
  <w16cex:commentExtensible w16cex:durableId="2D735BD5" w16cex:dateUtc="2025-12-18T11:26:00Z"/>
  <w16cex:commentExtensible w16cex:durableId="2461E3B2" w16cex:dateUtc="2026-02-01T17:02:00Z"/>
  <w16cex:commentExtensible w16cex:durableId="3B7B413E" w16cex:dateUtc="2026-02-01T17:05:00Z"/>
  <w16cex:commentExtensible w16cex:durableId="2EBABFB6" w16cex:dateUtc="2026-02-01T17:06:00Z"/>
  <w16cex:commentExtensible w16cex:durableId="420980D7" w16cex:dateUtc="2026-02-01T17:17:00Z"/>
  <w16cex:commentExtensible w16cex:durableId="5C6458AD" w16cex:dateUtc="2025-12-18T11:43:00Z"/>
  <w16cex:commentExtensible w16cex:durableId="3A3B49BA" w16cex:dateUtc="2026-02-01T17: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9122FC" w16cid:durableId="718034B2"/>
  <w16cid:commentId w16cid:paraId="5DB53AE1" w16cid:durableId="6B14CFE1"/>
  <w16cid:commentId w16cid:paraId="4D1F12CA" w16cid:durableId="61693CA0"/>
  <w16cid:commentId w16cid:paraId="355C4EE3" w16cid:durableId="1E940AD2"/>
  <w16cid:commentId w16cid:paraId="483D423A" w16cid:durableId="4BAD8CC0"/>
  <w16cid:commentId w16cid:paraId="7F260158" w16cid:durableId="3C8AC207"/>
  <w16cid:commentId w16cid:paraId="2290E46D" w16cid:durableId="45E22F8C"/>
  <w16cid:commentId w16cid:paraId="7502EB20" w16cid:durableId="0B0D6DD1"/>
  <w16cid:commentId w16cid:paraId="33AE792E" w16cid:durableId="797D72AC"/>
  <w16cid:commentId w16cid:paraId="5A9082E5" w16cid:durableId="04977214"/>
  <w16cid:commentId w16cid:paraId="352772C5" w16cid:durableId="027C3D8B"/>
  <w16cid:commentId w16cid:paraId="19DE1DD6" w16cid:durableId="0E196126"/>
  <w16cid:commentId w16cid:paraId="436F7C04" w16cid:durableId="448A1DF0"/>
  <w16cid:commentId w16cid:paraId="23662D98" w16cid:durableId="44492859"/>
  <w16cid:commentId w16cid:paraId="7091208C" w16cid:durableId="3DA66F9C"/>
  <w16cid:commentId w16cid:paraId="2FED2418" w16cid:durableId="0E9EF8C2"/>
  <w16cid:commentId w16cid:paraId="09556588" w16cid:durableId="0B38DDEF"/>
  <w16cid:commentId w16cid:paraId="5153E76C" w16cid:durableId="34246EAE"/>
  <w16cid:commentId w16cid:paraId="1D830C05" w16cid:durableId="06501F7A"/>
  <w16cid:commentId w16cid:paraId="6816DD64" w16cid:durableId="6E8FEA15"/>
  <w16cid:commentId w16cid:paraId="60F44A07" w16cid:durableId="65F5EF28"/>
  <w16cid:commentId w16cid:paraId="29E1FA87" w16cid:durableId="246BC461"/>
  <w16cid:commentId w16cid:paraId="31D9F999" w16cid:durableId="507195A7"/>
  <w16cid:commentId w16cid:paraId="59F927CF" w16cid:durableId="55413079"/>
  <w16cid:commentId w16cid:paraId="7BC75A63" w16cid:durableId="410EBD84"/>
  <w16cid:commentId w16cid:paraId="0197BBAE" w16cid:durableId="30295734"/>
  <w16cid:commentId w16cid:paraId="1D008AA9" w16cid:durableId="0A90346F"/>
  <w16cid:commentId w16cid:paraId="70670834" w16cid:durableId="37511715"/>
  <w16cid:commentId w16cid:paraId="37515F98" w16cid:durableId="2D735BD5"/>
  <w16cid:commentId w16cid:paraId="64ADD16F" w16cid:durableId="2461E3B2"/>
  <w16cid:commentId w16cid:paraId="19D085B5" w16cid:durableId="3B7B413E"/>
  <w16cid:commentId w16cid:paraId="45D92435" w16cid:durableId="2EBABFB6"/>
  <w16cid:commentId w16cid:paraId="2AD8792B" w16cid:durableId="420980D7"/>
  <w16cid:commentId w16cid:paraId="4A9989EC" w16cid:durableId="5C6458AD"/>
  <w16cid:commentId w16cid:paraId="2C29563E" w16cid:durableId="3A3B49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259484" w14:textId="77777777" w:rsidR="00D7602C" w:rsidRDefault="00D7602C">
      <w:r>
        <w:separator/>
      </w:r>
    </w:p>
  </w:endnote>
  <w:endnote w:type="continuationSeparator" w:id="0">
    <w:p w14:paraId="1B405102" w14:textId="77777777" w:rsidR="00D7602C" w:rsidRDefault="00D760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Gadugi">
    <w:panose1 w:val="020B0502040204020203"/>
    <w:charset w:val="00"/>
    <w:family w:val="swiss"/>
    <w:pitch w:val="variable"/>
    <w:sig w:usb0="80000003" w:usb1="02000000" w:usb2="00003000" w:usb3="00000000" w:csb0="00000001"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3DFEE"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6629FA8"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C0FCD"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4026DA01"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9AAFF" w14:textId="77777777" w:rsidR="00D7602C" w:rsidRDefault="00D7602C">
      <w:r>
        <w:separator/>
      </w:r>
    </w:p>
  </w:footnote>
  <w:footnote w:type="continuationSeparator" w:id="0">
    <w:p w14:paraId="05F07069" w14:textId="77777777" w:rsidR="00D7602C" w:rsidRDefault="00D760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285A9" w14:textId="77777777" w:rsidR="00575B3D" w:rsidRDefault="00575B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950667466">
    <w:abstractNumId w:val="8"/>
  </w:num>
  <w:num w:numId="2" w16cid:durableId="1183973825">
    <w:abstractNumId w:val="6"/>
  </w:num>
  <w:num w:numId="3" w16cid:durableId="1862548400">
    <w:abstractNumId w:val="9"/>
  </w:num>
  <w:num w:numId="4" w16cid:durableId="1059939658">
    <w:abstractNumId w:val="7"/>
  </w:num>
  <w:num w:numId="5" w16cid:durableId="860777547">
    <w:abstractNumId w:val="5"/>
  </w:num>
  <w:num w:numId="6" w16cid:durableId="1841499861">
    <w:abstractNumId w:val="4"/>
  </w:num>
  <w:num w:numId="7" w16cid:durableId="121576740">
    <w:abstractNumId w:val="3"/>
  </w:num>
  <w:num w:numId="8" w16cid:durableId="1693534550">
    <w:abstractNumId w:val="1"/>
  </w:num>
  <w:num w:numId="9" w16cid:durableId="2019504491">
    <w:abstractNumId w:val="0"/>
  </w:num>
  <w:num w:numId="10" w16cid:durableId="2050643018">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mes Wilkinson">
    <w15:presenceInfo w15:providerId="AD" w15:userId="S::jsw@soton.ac.uk::724be51f-9e6b-46cb-9c0e-21f1cffc835f"/>
  </w15:person>
  <w15:person w15:author="Saul Faust">
    <w15:presenceInfo w15:providerId="AD" w15:userId="S::snf@soton.ac.uk::1c19137c-3d41-46a6-ba15-eef9111a4c55"/>
  </w15:person>
  <w15:person w15:author="Milos Nedeljkovic">
    <w15:presenceInfo w15:providerId="AD" w15:userId="S::mn3m11@soton.ac.uk::3be5c2f5-6760-4a9d-bb40-9aceaa48adb3"/>
  </w15:person>
  <w15:person w15:author="Dan Owens">
    <w15:presenceInfo w15:providerId="AD" w15:userId="S::do1e18@soton.ac.uk::0dfe10b9-2ebc-4ffb-9d66-740ac7e66129"/>
  </w15:person>
  <w15:person w15:author="Goran Mashanovich">
    <w15:presenceInfo w15:providerId="AD" w15:userId="S::gm1a11@soton.ac.uk::d6511406-9954-4b60-9e93-13f9937035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e2s9zseqvvrtce0z055xzx4x0tfxapvz0tw&quot;&gt;My EndNote Library&lt;record-ids&gt;&lt;item&gt;128&lt;/item&gt;&lt;item&gt;244&lt;/item&gt;&lt;item&gt;353&lt;/item&gt;&lt;item&gt;599&lt;/item&gt;&lt;item&gt;644&lt;/item&gt;&lt;item&gt;814&lt;/item&gt;&lt;item&gt;815&lt;/item&gt;&lt;item&gt;816&lt;/item&gt;&lt;item&gt;817&lt;/item&gt;&lt;item&gt;820&lt;/item&gt;&lt;item&gt;821&lt;/item&gt;&lt;/record-ids&gt;&lt;/item&gt;&lt;/Libraries&gt;"/>
  </w:docVars>
  <w:rsids>
    <w:rsidRoot w:val="00352447"/>
    <w:rsid w:val="000002F2"/>
    <w:rsid w:val="00001A15"/>
    <w:rsid w:val="00001BAB"/>
    <w:rsid w:val="000073D0"/>
    <w:rsid w:val="000104F9"/>
    <w:rsid w:val="00010D11"/>
    <w:rsid w:val="00012060"/>
    <w:rsid w:val="00014945"/>
    <w:rsid w:val="00021A63"/>
    <w:rsid w:val="00024880"/>
    <w:rsid w:val="00024957"/>
    <w:rsid w:val="00025946"/>
    <w:rsid w:val="00031A10"/>
    <w:rsid w:val="000331E4"/>
    <w:rsid w:val="00033C5A"/>
    <w:rsid w:val="0003496D"/>
    <w:rsid w:val="00040B7F"/>
    <w:rsid w:val="00041373"/>
    <w:rsid w:val="00043BCC"/>
    <w:rsid w:val="00044B89"/>
    <w:rsid w:val="000460D8"/>
    <w:rsid w:val="000506FD"/>
    <w:rsid w:val="00052F3E"/>
    <w:rsid w:val="00053FDC"/>
    <w:rsid w:val="000551A6"/>
    <w:rsid w:val="0005660F"/>
    <w:rsid w:val="0006077C"/>
    <w:rsid w:val="00067524"/>
    <w:rsid w:val="000676B5"/>
    <w:rsid w:val="000702AD"/>
    <w:rsid w:val="00071A1D"/>
    <w:rsid w:val="00077472"/>
    <w:rsid w:val="00082209"/>
    <w:rsid w:val="000869B5"/>
    <w:rsid w:val="00093E8A"/>
    <w:rsid w:val="000942E2"/>
    <w:rsid w:val="0009532E"/>
    <w:rsid w:val="00096111"/>
    <w:rsid w:val="000A7439"/>
    <w:rsid w:val="000B087C"/>
    <w:rsid w:val="000B2EEB"/>
    <w:rsid w:val="000B5610"/>
    <w:rsid w:val="000C05CC"/>
    <w:rsid w:val="000C0724"/>
    <w:rsid w:val="000C46EC"/>
    <w:rsid w:val="000C68AB"/>
    <w:rsid w:val="000C7300"/>
    <w:rsid w:val="000D17FC"/>
    <w:rsid w:val="000D1BEB"/>
    <w:rsid w:val="000D2C42"/>
    <w:rsid w:val="000E267A"/>
    <w:rsid w:val="000E7C19"/>
    <w:rsid w:val="000F0360"/>
    <w:rsid w:val="000F366A"/>
    <w:rsid w:val="000F41D5"/>
    <w:rsid w:val="000F6D7B"/>
    <w:rsid w:val="00103749"/>
    <w:rsid w:val="00107169"/>
    <w:rsid w:val="00113D62"/>
    <w:rsid w:val="00121DD8"/>
    <w:rsid w:val="00123445"/>
    <w:rsid w:val="00124FB5"/>
    <w:rsid w:val="00125DA4"/>
    <w:rsid w:val="001261FD"/>
    <w:rsid w:val="0012639D"/>
    <w:rsid w:val="00126C16"/>
    <w:rsid w:val="001309E5"/>
    <w:rsid w:val="0013322A"/>
    <w:rsid w:val="00134A03"/>
    <w:rsid w:val="001368E8"/>
    <w:rsid w:val="001504E1"/>
    <w:rsid w:val="00153611"/>
    <w:rsid w:val="0015563F"/>
    <w:rsid w:val="0016042E"/>
    <w:rsid w:val="0017125F"/>
    <w:rsid w:val="00172C52"/>
    <w:rsid w:val="001733F8"/>
    <w:rsid w:val="00175E64"/>
    <w:rsid w:val="0018178B"/>
    <w:rsid w:val="00182672"/>
    <w:rsid w:val="00183696"/>
    <w:rsid w:val="0019178B"/>
    <w:rsid w:val="001925A6"/>
    <w:rsid w:val="00192621"/>
    <w:rsid w:val="00195ACA"/>
    <w:rsid w:val="00196000"/>
    <w:rsid w:val="0019693E"/>
    <w:rsid w:val="001A0237"/>
    <w:rsid w:val="001A232C"/>
    <w:rsid w:val="001A303F"/>
    <w:rsid w:val="001A424A"/>
    <w:rsid w:val="001A7A90"/>
    <w:rsid w:val="001B00B5"/>
    <w:rsid w:val="001B1B89"/>
    <w:rsid w:val="001B2CB3"/>
    <w:rsid w:val="001B3236"/>
    <w:rsid w:val="001C2CF4"/>
    <w:rsid w:val="001D24F6"/>
    <w:rsid w:val="001D3820"/>
    <w:rsid w:val="001D3DD8"/>
    <w:rsid w:val="001D5411"/>
    <w:rsid w:val="001D77C2"/>
    <w:rsid w:val="001E5C9E"/>
    <w:rsid w:val="001E6FFE"/>
    <w:rsid w:val="001F23A2"/>
    <w:rsid w:val="001F3D06"/>
    <w:rsid w:val="002037C7"/>
    <w:rsid w:val="002076C8"/>
    <w:rsid w:val="00212B1D"/>
    <w:rsid w:val="0021484B"/>
    <w:rsid w:val="00214ABA"/>
    <w:rsid w:val="00215E18"/>
    <w:rsid w:val="00223221"/>
    <w:rsid w:val="00233908"/>
    <w:rsid w:val="00233AE2"/>
    <w:rsid w:val="002344D5"/>
    <w:rsid w:val="002363EA"/>
    <w:rsid w:val="00237673"/>
    <w:rsid w:val="00240654"/>
    <w:rsid w:val="0024392B"/>
    <w:rsid w:val="002522D0"/>
    <w:rsid w:val="002606B1"/>
    <w:rsid w:val="00262150"/>
    <w:rsid w:val="00271A02"/>
    <w:rsid w:val="00274226"/>
    <w:rsid w:val="00274946"/>
    <w:rsid w:val="00276F9F"/>
    <w:rsid w:val="0027776F"/>
    <w:rsid w:val="00281F05"/>
    <w:rsid w:val="00285448"/>
    <w:rsid w:val="00287852"/>
    <w:rsid w:val="0028797C"/>
    <w:rsid w:val="002940E2"/>
    <w:rsid w:val="00294160"/>
    <w:rsid w:val="0029441C"/>
    <w:rsid w:val="0029661D"/>
    <w:rsid w:val="002A2CFF"/>
    <w:rsid w:val="002A4741"/>
    <w:rsid w:val="002A7493"/>
    <w:rsid w:val="002B189B"/>
    <w:rsid w:val="002B43B2"/>
    <w:rsid w:val="002C3431"/>
    <w:rsid w:val="002C4847"/>
    <w:rsid w:val="002C4A4A"/>
    <w:rsid w:val="002D000D"/>
    <w:rsid w:val="002D477C"/>
    <w:rsid w:val="002D4B34"/>
    <w:rsid w:val="002D76BE"/>
    <w:rsid w:val="002E230D"/>
    <w:rsid w:val="002F06DF"/>
    <w:rsid w:val="002F228C"/>
    <w:rsid w:val="002F3BC0"/>
    <w:rsid w:val="002F430F"/>
    <w:rsid w:val="002F4741"/>
    <w:rsid w:val="002F58F3"/>
    <w:rsid w:val="002F598E"/>
    <w:rsid w:val="003020C9"/>
    <w:rsid w:val="00302A82"/>
    <w:rsid w:val="00307DAA"/>
    <w:rsid w:val="00310C41"/>
    <w:rsid w:val="00313494"/>
    <w:rsid w:val="0031373B"/>
    <w:rsid w:val="00321F02"/>
    <w:rsid w:val="00323F27"/>
    <w:rsid w:val="00324128"/>
    <w:rsid w:val="0032460A"/>
    <w:rsid w:val="003259C0"/>
    <w:rsid w:val="003272F2"/>
    <w:rsid w:val="00332FD8"/>
    <w:rsid w:val="00335193"/>
    <w:rsid w:val="0034212C"/>
    <w:rsid w:val="0034418D"/>
    <w:rsid w:val="003506E7"/>
    <w:rsid w:val="0035080C"/>
    <w:rsid w:val="00352447"/>
    <w:rsid w:val="00352F6E"/>
    <w:rsid w:val="003536F2"/>
    <w:rsid w:val="00353A74"/>
    <w:rsid w:val="00354E25"/>
    <w:rsid w:val="00360432"/>
    <w:rsid w:val="003604DA"/>
    <w:rsid w:val="003610A3"/>
    <w:rsid w:val="00361546"/>
    <w:rsid w:val="00361E35"/>
    <w:rsid w:val="00363D2E"/>
    <w:rsid w:val="00366219"/>
    <w:rsid w:val="003664E9"/>
    <w:rsid w:val="0036792D"/>
    <w:rsid w:val="003679A1"/>
    <w:rsid w:val="003729CB"/>
    <w:rsid w:val="00374217"/>
    <w:rsid w:val="00374874"/>
    <w:rsid w:val="00375720"/>
    <w:rsid w:val="00376C8D"/>
    <w:rsid w:val="00380CE5"/>
    <w:rsid w:val="003824C8"/>
    <w:rsid w:val="00383494"/>
    <w:rsid w:val="003854D4"/>
    <w:rsid w:val="003923A1"/>
    <w:rsid w:val="00395267"/>
    <w:rsid w:val="003977BE"/>
    <w:rsid w:val="003A0763"/>
    <w:rsid w:val="003A42F0"/>
    <w:rsid w:val="003A5DCD"/>
    <w:rsid w:val="003A6355"/>
    <w:rsid w:val="003A6E16"/>
    <w:rsid w:val="003B02A4"/>
    <w:rsid w:val="003B23E8"/>
    <w:rsid w:val="003B45C2"/>
    <w:rsid w:val="003B4AF3"/>
    <w:rsid w:val="003B6022"/>
    <w:rsid w:val="003C3045"/>
    <w:rsid w:val="003C5B3D"/>
    <w:rsid w:val="003D4659"/>
    <w:rsid w:val="003D53F8"/>
    <w:rsid w:val="003D652F"/>
    <w:rsid w:val="003E1F76"/>
    <w:rsid w:val="003E5093"/>
    <w:rsid w:val="003E6CAA"/>
    <w:rsid w:val="003F5150"/>
    <w:rsid w:val="00400B6B"/>
    <w:rsid w:val="00403159"/>
    <w:rsid w:val="00405FA4"/>
    <w:rsid w:val="00411881"/>
    <w:rsid w:val="004126B7"/>
    <w:rsid w:val="00414DA0"/>
    <w:rsid w:val="00416107"/>
    <w:rsid w:val="0042225F"/>
    <w:rsid w:val="004255E6"/>
    <w:rsid w:val="00435AF4"/>
    <w:rsid w:val="004376AF"/>
    <w:rsid w:val="00441B52"/>
    <w:rsid w:val="00442D47"/>
    <w:rsid w:val="00455B21"/>
    <w:rsid w:val="00457EF6"/>
    <w:rsid w:val="00466633"/>
    <w:rsid w:val="00470547"/>
    <w:rsid w:val="0047064E"/>
    <w:rsid w:val="00471B10"/>
    <w:rsid w:val="00472E48"/>
    <w:rsid w:val="00475FD2"/>
    <w:rsid w:val="004765F8"/>
    <w:rsid w:val="00476984"/>
    <w:rsid w:val="00491C9E"/>
    <w:rsid w:val="004927C1"/>
    <w:rsid w:val="00493DE5"/>
    <w:rsid w:val="004947F6"/>
    <w:rsid w:val="004949D3"/>
    <w:rsid w:val="00495E8E"/>
    <w:rsid w:val="004A0D91"/>
    <w:rsid w:val="004A3245"/>
    <w:rsid w:val="004A4D83"/>
    <w:rsid w:val="004A5098"/>
    <w:rsid w:val="004A6FD7"/>
    <w:rsid w:val="004B0E7D"/>
    <w:rsid w:val="004C0A30"/>
    <w:rsid w:val="004C2FDC"/>
    <w:rsid w:val="004C4A79"/>
    <w:rsid w:val="004D0999"/>
    <w:rsid w:val="004D0A67"/>
    <w:rsid w:val="004D2664"/>
    <w:rsid w:val="004D5CFF"/>
    <w:rsid w:val="004D6746"/>
    <w:rsid w:val="004D68D9"/>
    <w:rsid w:val="004E0FD9"/>
    <w:rsid w:val="004E1DBC"/>
    <w:rsid w:val="004E246F"/>
    <w:rsid w:val="004E283C"/>
    <w:rsid w:val="004E31FA"/>
    <w:rsid w:val="004E4C17"/>
    <w:rsid w:val="004E7185"/>
    <w:rsid w:val="004F02EC"/>
    <w:rsid w:val="004F546F"/>
    <w:rsid w:val="004F78E6"/>
    <w:rsid w:val="0050176C"/>
    <w:rsid w:val="00501AA5"/>
    <w:rsid w:val="005055C6"/>
    <w:rsid w:val="005109FB"/>
    <w:rsid w:val="00510D59"/>
    <w:rsid w:val="00516E8C"/>
    <w:rsid w:val="00520148"/>
    <w:rsid w:val="00521E43"/>
    <w:rsid w:val="00523265"/>
    <w:rsid w:val="00523B81"/>
    <w:rsid w:val="00524103"/>
    <w:rsid w:val="00524718"/>
    <w:rsid w:val="005252FA"/>
    <w:rsid w:val="00530012"/>
    <w:rsid w:val="005347C8"/>
    <w:rsid w:val="00534940"/>
    <w:rsid w:val="005404FA"/>
    <w:rsid w:val="005459FF"/>
    <w:rsid w:val="00545C3D"/>
    <w:rsid w:val="00552934"/>
    <w:rsid w:val="00554969"/>
    <w:rsid w:val="005553EF"/>
    <w:rsid w:val="00556292"/>
    <w:rsid w:val="00557588"/>
    <w:rsid w:val="0055787C"/>
    <w:rsid w:val="005602F7"/>
    <w:rsid w:val="00560584"/>
    <w:rsid w:val="00565043"/>
    <w:rsid w:val="00566235"/>
    <w:rsid w:val="00567E81"/>
    <w:rsid w:val="00571C30"/>
    <w:rsid w:val="0057279D"/>
    <w:rsid w:val="0057334E"/>
    <w:rsid w:val="00573F6B"/>
    <w:rsid w:val="00575B3D"/>
    <w:rsid w:val="005769FE"/>
    <w:rsid w:val="00576A0D"/>
    <w:rsid w:val="00576D3D"/>
    <w:rsid w:val="00583700"/>
    <w:rsid w:val="0059069E"/>
    <w:rsid w:val="00591A57"/>
    <w:rsid w:val="00593382"/>
    <w:rsid w:val="005A510B"/>
    <w:rsid w:val="005A574C"/>
    <w:rsid w:val="005B1672"/>
    <w:rsid w:val="005B487A"/>
    <w:rsid w:val="005B7416"/>
    <w:rsid w:val="005C0918"/>
    <w:rsid w:val="005C13E9"/>
    <w:rsid w:val="005C2EF1"/>
    <w:rsid w:val="005C4952"/>
    <w:rsid w:val="005C5DFC"/>
    <w:rsid w:val="005C7464"/>
    <w:rsid w:val="005D0B9D"/>
    <w:rsid w:val="005D0C10"/>
    <w:rsid w:val="005D309E"/>
    <w:rsid w:val="005D3E95"/>
    <w:rsid w:val="005E1E6C"/>
    <w:rsid w:val="005E2288"/>
    <w:rsid w:val="005E3B17"/>
    <w:rsid w:val="005E4473"/>
    <w:rsid w:val="005E4C66"/>
    <w:rsid w:val="005E4C75"/>
    <w:rsid w:val="005E4CDD"/>
    <w:rsid w:val="005F1979"/>
    <w:rsid w:val="0060529C"/>
    <w:rsid w:val="006061F6"/>
    <w:rsid w:val="006069F6"/>
    <w:rsid w:val="00610143"/>
    <w:rsid w:val="006104D8"/>
    <w:rsid w:val="0061052A"/>
    <w:rsid w:val="0061178D"/>
    <w:rsid w:val="0061479E"/>
    <w:rsid w:val="0061526B"/>
    <w:rsid w:val="00616ACC"/>
    <w:rsid w:val="00624E2D"/>
    <w:rsid w:val="00625D58"/>
    <w:rsid w:val="00632714"/>
    <w:rsid w:val="00633846"/>
    <w:rsid w:val="006377A9"/>
    <w:rsid w:val="006407F3"/>
    <w:rsid w:val="006455A5"/>
    <w:rsid w:val="006473F8"/>
    <w:rsid w:val="00650971"/>
    <w:rsid w:val="006539A4"/>
    <w:rsid w:val="00654888"/>
    <w:rsid w:val="006575D3"/>
    <w:rsid w:val="00657BDE"/>
    <w:rsid w:val="00657FA9"/>
    <w:rsid w:val="006605AD"/>
    <w:rsid w:val="006623A3"/>
    <w:rsid w:val="00664F73"/>
    <w:rsid w:val="0066682C"/>
    <w:rsid w:val="00670134"/>
    <w:rsid w:val="006702DD"/>
    <w:rsid w:val="00671A15"/>
    <w:rsid w:val="00672F06"/>
    <w:rsid w:val="006733CA"/>
    <w:rsid w:val="00675152"/>
    <w:rsid w:val="00683131"/>
    <w:rsid w:val="006838C6"/>
    <w:rsid w:val="006839E4"/>
    <w:rsid w:val="00684E3A"/>
    <w:rsid w:val="00684F39"/>
    <w:rsid w:val="006870E5"/>
    <w:rsid w:val="006957B9"/>
    <w:rsid w:val="00697D7B"/>
    <w:rsid w:val="006A0AF4"/>
    <w:rsid w:val="006A3E34"/>
    <w:rsid w:val="006A718A"/>
    <w:rsid w:val="006B2581"/>
    <w:rsid w:val="006B6DBB"/>
    <w:rsid w:val="006C2244"/>
    <w:rsid w:val="006C77B6"/>
    <w:rsid w:val="006D2B19"/>
    <w:rsid w:val="006D4B4F"/>
    <w:rsid w:val="006D66DF"/>
    <w:rsid w:val="006D71A0"/>
    <w:rsid w:val="006D736F"/>
    <w:rsid w:val="006D7506"/>
    <w:rsid w:val="006D7731"/>
    <w:rsid w:val="006E08B7"/>
    <w:rsid w:val="006E4585"/>
    <w:rsid w:val="006E45AB"/>
    <w:rsid w:val="006E5C81"/>
    <w:rsid w:val="006E5E84"/>
    <w:rsid w:val="006E7D04"/>
    <w:rsid w:val="006F113C"/>
    <w:rsid w:val="006F12B9"/>
    <w:rsid w:val="006F15DB"/>
    <w:rsid w:val="006F321C"/>
    <w:rsid w:val="006F33BB"/>
    <w:rsid w:val="006F3891"/>
    <w:rsid w:val="006F55C4"/>
    <w:rsid w:val="006F658F"/>
    <w:rsid w:val="007000D9"/>
    <w:rsid w:val="00700D0C"/>
    <w:rsid w:val="00701AC7"/>
    <w:rsid w:val="00704B9F"/>
    <w:rsid w:val="00705B16"/>
    <w:rsid w:val="00710824"/>
    <w:rsid w:val="007146D9"/>
    <w:rsid w:val="00717A04"/>
    <w:rsid w:val="00726605"/>
    <w:rsid w:val="00734A8B"/>
    <w:rsid w:val="00736E70"/>
    <w:rsid w:val="00741E67"/>
    <w:rsid w:val="0074277C"/>
    <w:rsid w:val="00743364"/>
    <w:rsid w:val="007451BE"/>
    <w:rsid w:val="00747701"/>
    <w:rsid w:val="00752DC5"/>
    <w:rsid w:val="00756301"/>
    <w:rsid w:val="0075740B"/>
    <w:rsid w:val="00761AEB"/>
    <w:rsid w:val="007629D3"/>
    <w:rsid w:val="00764D28"/>
    <w:rsid w:val="007710AF"/>
    <w:rsid w:val="00772763"/>
    <w:rsid w:val="007731D6"/>
    <w:rsid w:val="00777E7D"/>
    <w:rsid w:val="00781595"/>
    <w:rsid w:val="00782CA8"/>
    <w:rsid w:val="00787ACF"/>
    <w:rsid w:val="007919DE"/>
    <w:rsid w:val="00794616"/>
    <w:rsid w:val="00796333"/>
    <w:rsid w:val="00796AFB"/>
    <w:rsid w:val="007A11AD"/>
    <w:rsid w:val="007A1A7F"/>
    <w:rsid w:val="007A1E77"/>
    <w:rsid w:val="007A22A5"/>
    <w:rsid w:val="007A5BC5"/>
    <w:rsid w:val="007B5E45"/>
    <w:rsid w:val="007C0436"/>
    <w:rsid w:val="007C4FED"/>
    <w:rsid w:val="007C57B4"/>
    <w:rsid w:val="007C679A"/>
    <w:rsid w:val="007C741C"/>
    <w:rsid w:val="007D394E"/>
    <w:rsid w:val="007D4FF9"/>
    <w:rsid w:val="007E023E"/>
    <w:rsid w:val="007E0BD8"/>
    <w:rsid w:val="007E14DF"/>
    <w:rsid w:val="007E247A"/>
    <w:rsid w:val="007F7AC8"/>
    <w:rsid w:val="008002C2"/>
    <w:rsid w:val="00801182"/>
    <w:rsid w:val="008037F2"/>
    <w:rsid w:val="008047DE"/>
    <w:rsid w:val="00811B35"/>
    <w:rsid w:val="00812779"/>
    <w:rsid w:val="008241EB"/>
    <w:rsid w:val="008245B9"/>
    <w:rsid w:val="00825D9A"/>
    <w:rsid w:val="00835904"/>
    <w:rsid w:val="00840F8E"/>
    <w:rsid w:val="0084299A"/>
    <w:rsid w:val="00842AAA"/>
    <w:rsid w:val="008464FF"/>
    <w:rsid w:val="00852D9E"/>
    <w:rsid w:val="00853AD3"/>
    <w:rsid w:val="00856688"/>
    <w:rsid w:val="00857884"/>
    <w:rsid w:val="008603B1"/>
    <w:rsid w:val="008633FA"/>
    <w:rsid w:val="008655C0"/>
    <w:rsid w:val="00865964"/>
    <w:rsid w:val="008725BD"/>
    <w:rsid w:val="00872863"/>
    <w:rsid w:val="00872BA6"/>
    <w:rsid w:val="00872CE5"/>
    <w:rsid w:val="0087458E"/>
    <w:rsid w:val="008764D9"/>
    <w:rsid w:val="00881516"/>
    <w:rsid w:val="008920CF"/>
    <w:rsid w:val="008930D8"/>
    <w:rsid w:val="008A0390"/>
    <w:rsid w:val="008A0647"/>
    <w:rsid w:val="008A108A"/>
    <w:rsid w:val="008A278D"/>
    <w:rsid w:val="008A4A5D"/>
    <w:rsid w:val="008B32AA"/>
    <w:rsid w:val="008B5122"/>
    <w:rsid w:val="008C0447"/>
    <w:rsid w:val="008C1EFC"/>
    <w:rsid w:val="008D30F9"/>
    <w:rsid w:val="008D32ED"/>
    <w:rsid w:val="008D53B2"/>
    <w:rsid w:val="008D53EA"/>
    <w:rsid w:val="008D58F6"/>
    <w:rsid w:val="008E7BF5"/>
    <w:rsid w:val="008E7D87"/>
    <w:rsid w:val="008F387A"/>
    <w:rsid w:val="008F4CC7"/>
    <w:rsid w:val="008F5DCC"/>
    <w:rsid w:val="00900B65"/>
    <w:rsid w:val="009010CE"/>
    <w:rsid w:val="00912169"/>
    <w:rsid w:val="00917D2B"/>
    <w:rsid w:val="0092037A"/>
    <w:rsid w:val="00922BA4"/>
    <w:rsid w:val="009246AD"/>
    <w:rsid w:val="009252AE"/>
    <w:rsid w:val="00930116"/>
    <w:rsid w:val="0093206F"/>
    <w:rsid w:val="00933853"/>
    <w:rsid w:val="00937A9B"/>
    <w:rsid w:val="00944979"/>
    <w:rsid w:val="009459CB"/>
    <w:rsid w:val="00945B32"/>
    <w:rsid w:val="00947C8B"/>
    <w:rsid w:val="00953C5A"/>
    <w:rsid w:val="009549D7"/>
    <w:rsid w:val="00956FA4"/>
    <w:rsid w:val="009571C4"/>
    <w:rsid w:val="00965B30"/>
    <w:rsid w:val="00974185"/>
    <w:rsid w:val="009807AE"/>
    <w:rsid w:val="00983437"/>
    <w:rsid w:val="00984CCE"/>
    <w:rsid w:val="0098739D"/>
    <w:rsid w:val="00990CF6"/>
    <w:rsid w:val="00991011"/>
    <w:rsid w:val="00992F85"/>
    <w:rsid w:val="00993161"/>
    <w:rsid w:val="009959D6"/>
    <w:rsid w:val="00996840"/>
    <w:rsid w:val="009979C7"/>
    <w:rsid w:val="009B1A98"/>
    <w:rsid w:val="009B1DEE"/>
    <w:rsid w:val="009B2BF1"/>
    <w:rsid w:val="009B6F2B"/>
    <w:rsid w:val="009C7027"/>
    <w:rsid w:val="009D1025"/>
    <w:rsid w:val="009D2180"/>
    <w:rsid w:val="009D2B1A"/>
    <w:rsid w:val="009D4B3A"/>
    <w:rsid w:val="009D50DD"/>
    <w:rsid w:val="009D584F"/>
    <w:rsid w:val="009D7D32"/>
    <w:rsid w:val="009F07E4"/>
    <w:rsid w:val="009F2E7E"/>
    <w:rsid w:val="009F50F1"/>
    <w:rsid w:val="00A0051D"/>
    <w:rsid w:val="00A02D62"/>
    <w:rsid w:val="00A1100B"/>
    <w:rsid w:val="00A11556"/>
    <w:rsid w:val="00A13F74"/>
    <w:rsid w:val="00A14C82"/>
    <w:rsid w:val="00A17013"/>
    <w:rsid w:val="00A20D14"/>
    <w:rsid w:val="00A20EB5"/>
    <w:rsid w:val="00A225EC"/>
    <w:rsid w:val="00A3148F"/>
    <w:rsid w:val="00A31884"/>
    <w:rsid w:val="00A34031"/>
    <w:rsid w:val="00A364B9"/>
    <w:rsid w:val="00A42397"/>
    <w:rsid w:val="00A44E55"/>
    <w:rsid w:val="00A44F32"/>
    <w:rsid w:val="00A45F38"/>
    <w:rsid w:val="00A541EE"/>
    <w:rsid w:val="00A54863"/>
    <w:rsid w:val="00A57D32"/>
    <w:rsid w:val="00A61787"/>
    <w:rsid w:val="00A65192"/>
    <w:rsid w:val="00A66F98"/>
    <w:rsid w:val="00A7116B"/>
    <w:rsid w:val="00A7449F"/>
    <w:rsid w:val="00A759B0"/>
    <w:rsid w:val="00A764EF"/>
    <w:rsid w:val="00A83DAA"/>
    <w:rsid w:val="00A87112"/>
    <w:rsid w:val="00A8725A"/>
    <w:rsid w:val="00A93784"/>
    <w:rsid w:val="00A96D0C"/>
    <w:rsid w:val="00AA2A73"/>
    <w:rsid w:val="00AA5489"/>
    <w:rsid w:val="00AB0609"/>
    <w:rsid w:val="00AB066B"/>
    <w:rsid w:val="00AB34C5"/>
    <w:rsid w:val="00AB3B83"/>
    <w:rsid w:val="00AB3DAD"/>
    <w:rsid w:val="00AB6191"/>
    <w:rsid w:val="00AC18F1"/>
    <w:rsid w:val="00AC76FC"/>
    <w:rsid w:val="00AD05C6"/>
    <w:rsid w:val="00AD1C91"/>
    <w:rsid w:val="00AD2618"/>
    <w:rsid w:val="00AE49EE"/>
    <w:rsid w:val="00AF2321"/>
    <w:rsid w:val="00AF4F6D"/>
    <w:rsid w:val="00AF7F6A"/>
    <w:rsid w:val="00B04B40"/>
    <w:rsid w:val="00B053AC"/>
    <w:rsid w:val="00B05A88"/>
    <w:rsid w:val="00B13F4E"/>
    <w:rsid w:val="00B20329"/>
    <w:rsid w:val="00B22D09"/>
    <w:rsid w:val="00B231F2"/>
    <w:rsid w:val="00B237BD"/>
    <w:rsid w:val="00B2625F"/>
    <w:rsid w:val="00B27B98"/>
    <w:rsid w:val="00B302C0"/>
    <w:rsid w:val="00B31964"/>
    <w:rsid w:val="00B33DA3"/>
    <w:rsid w:val="00B40C08"/>
    <w:rsid w:val="00B44641"/>
    <w:rsid w:val="00B467D9"/>
    <w:rsid w:val="00B50F22"/>
    <w:rsid w:val="00B51BEC"/>
    <w:rsid w:val="00B53C4D"/>
    <w:rsid w:val="00B543FA"/>
    <w:rsid w:val="00B62570"/>
    <w:rsid w:val="00B67E9C"/>
    <w:rsid w:val="00B758CF"/>
    <w:rsid w:val="00B7618D"/>
    <w:rsid w:val="00B76E66"/>
    <w:rsid w:val="00B81EAE"/>
    <w:rsid w:val="00B82A7E"/>
    <w:rsid w:val="00B87A4B"/>
    <w:rsid w:val="00B904D6"/>
    <w:rsid w:val="00BA0AE0"/>
    <w:rsid w:val="00BA25B9"/>
    <w:rsid w:val="00BA2BBC"/>
    <w:rsid w:val="00BA2ED2"/>
    <w:rsid w:val="00BA35B4"/>
    <w:rsid w:val="00BA5C92"/>
    <w:rsid w:val="00BA7DF5"/>
    <w:rsid w:val="00BB0CE3"/>
    <w:rsid w:val="00BB357D"/>
    <w:rsid w:val="00BB4C31"/>
    <w:rsid w:val="00BC0A4B"/>
    <w:rsid w:val="00BC46F9"/>
    <w:rsid w:val="00BC745C"/>
    <w:rsid w:val="00BC7683"/>
    <w:rsid w:val="00BD2C44"/>
    <w:rsid w:val="00BD2D99"/>
    <w:rsid w:val="00BE08E9"/>
    <w:rsid w:val="00BE2418"/>
    <w:rsid w:val="00BE499A"/>
    <w:rsid w:val="00BF1363"/>
    <w:rsid w:val="00BF1741"/>
    <w:rsid w:val="00BF2FB8"/>
    <w:rsid w:val="00BF51C6"/>
    <w:rsid w:val="00BF61B6"/>
    <w:rsid w:val="00C06F9C"/>
    <w:rsid w:val="00C07263"/>
    <w:rsid w:val="00C10EE0"/>
    <w:rsid w:val="00C12556"/>
    <w:rsid w:val="00C13850"/>
    <w:rsid w:val="00C13914"/>
    <w:rsid w:val="00C13952"/>
    <w:rsid w:val="00C164CF"/>
    <w:rsid w:val="00C1757E"/>
    <w:rsid w:val="00C179A9"/>
    <w:rsid w:val="00C17F6B"/>
    <w:rsid w:val="00C227A4"/>
    <w:rsid w:val="00C235B9"/>
    <w:rsid w:val="00C30747"/>
    <w:rsid w:val="00C31F1A"/>
    <w:rsid w:val="00C3316D"/>
    <w:rsid w:val="00C362E3"/>
    <w:rsid w:val="00C36F72"/>
    <w:rsid w:val="00C54931"/>
    <w:rsid w:val="00C57B86"/>
    <w:rsid w:val="00C6028C"/>
    <w:rsid w:val="00C60C6D"/>
    <w:rsid w:val="00C6170A"/>
    <w:rsid w:val="00C6759D"/>
    <w:rsid w:val="00C71321"/>
    <w:rsid w:val="00C74DD5"/>
    <w:rsid w:val="00C75D1F"/>
    <w:rsid w:val="00C76360"/>
    <w:rsid w:val="00C83466"/>
    <w:rsid w:val="00C86DAB"/>
    <w:rsid w:val="00C945BF"/>
    <w:rsid w:val="00C96D28"/>
    <w:rsid w:val="00CA0DD5"/>
    <w:rsid w:val="00CA1C47"/>
    <w:rsid w:val="00CA3DCF"/>
    <w:rsid w:val="00CB0FC8"/>
    <w:rsid w:val="00CB1804"/>
    <w:rsid w:val="00CB5C2B"/>
    <w:rsid w:val="00CC12E1"/>
    <w:rsid w:val="00CC1F1F"/>
    <w:rsid w:val="00CC66AB"/>
    <w:rsid w:val="00CD62C7"/>
    <w:rsid w:val="00CD6ACB"/>
    <w:rsid w:val="00CD6DEA"/>
    <w:rsid w:val="00CE7CAF"/>
    <w:rsid w:val="00CF4129"/>
    <w:rsid w:val="00CF5D8E"/>
    <w:rsid w:val="00D01EB9"/>
    <w:rsid w:val="00D023DB"/>
    <w:rsid w:val="00D063B2"/>
    <w:rsid w:val="00D12C7B"/>
    <w:rsid w:val="00D13CD5"/>
    <w:rsid w:val="00D20343"/>
    <w:rsid w:val="00D208F0"/>
    <w:rsid w:val="00D225BC"/>
    <w:rsid w:val="00D23BC0"/>
    <w:rsid w:val="00D318E5"/>
    <w:rsid w:val="00D325BB"/>
    <w:rsid w:val="00D32B94"/>
    <w:rsid w:val="00D32E24"/>
    <w:rsid w:val="00D339B5"/>
    <w:rsid w:val="00D33B84"/>
    <w:rsid w:val="00D41957"/>
    <w:rsid w:val="00D44244"/>
    <w:rsid w:val="00D46078"/>
    <w:rsid w:val="00D47DAC"/>
    <w:rsid w:val="00D53EB9"/>
    <w:rsid w:val="00D546EF"/>
    <w:rsid w:val="00D56798"/>
    <w:rsid w:val="00D57AF4"/>
    <w:rsid w:val="00D67AF0"/>
    <w:rsid w:val="00D719E8"/>
    <w:rsid w:val="00D75FBE"/>
    <w:rsid w:val="00D7602C"/>
    <w:rsid w:val="00D7669A"/>
    <w:rsid w:val="00D77C57"/>
    <w:rsid w:val="00D90324"/>
    <w:rsid w:val="00D91EAD"/>
    <w:rsid w:val="00D94A76"/>
    <w:rsid w:val="00D961F2"/>
    <w:rsid w:val="00DA2951"/>
    <w:rsid w:val="00DA2EBE"/>
    <w:rsid w:val="00DA4037"/>
    <w:rsid w:val="00DA4F60"/>
    <w:rsid w:val="00DB25F7"/>
    <w:rsid w:val="00DB2B4D"/>
    <w:rsid w:val="00DC4600"/>
    <w:rsid w:val="00DC4F6C"/>
    <w:rsid w:val="00DC75AC"/>
    <w:rsid w:val="00DD087B"/>
    <w:rsid w:val="00DD1269"/>
    <w:rsid w:val="00DD6DBB"/>
    <w:rsid w:val="00DD7D5D"/>
    <w:rsid w:val="00DE3143"/>
    <w:rsid w:val="00DF5DAA"/>
    <w:rsid w:val="00E00BEE"/>
    <w:rsid w:val="00E038CE"/>
    <w:rsid w:val="00E074F2"/>
    <w:rsid w:val="00E114A4"/>
    <w:rsid w:val="00E144E4"/>
    <w:rsid w:val="00E20656"/>
    <w:rsid w:val="00E208AE"/>
    <w:rsid w:val="00E20A4C"/>
    <w:rsid w:val="00E2336C"/>
    <w:rsid w:val="00E23A19"/>
    <w:rsid w:val="00E26403"/>
    <w:rsid w:val="00E2787B"/>
    <w:rsid w:val="00E3046C"/>
    <w:rsid w:val="00E31BE9"/>
    <w:rsid w:val="00E322E2"/>
    <w:rsid w:val="00E3591C"/>
    <w:rsid w:val="00E41135"/>
    <w:rsid w:val="00E444A2"/>
    <w:rsid w:val="00E44B99"/>
    <w:rsid w:val="00E46267"/>
    <w:rsid w:val="00E50523"/>
    <w:rsid w:val="00E535D6"/>
    <w:rsid w:val="00E60A5D"/>
    <w:rsid w:val="00E6281C"/>
    <w:rsid w:val="00E6501A"/>
    <w:rsid w:val="00E6509D"/>
    <w:rsid w:val="00E66E1B"/>
    <w:rsid w:val="00E6727B"/>
    <w:rsid w:val="00E70C35"/>
    <w:rsid w:val="00E71035"/>
    <w:rsid w:val="00E7297D"/>
    <w:rsid w:val="00E738D3"/>
    <w:rsid w:val="00E743A8"/>
    <w:rsid w:val="00E75AD3"/>
    <w:rsid w:val="00E76AC6"/>
    <w:rsid w:val="00E81991"/>
    <w:rsid w:val="00E829C9"/>
    <w:rsid w:val="00E84941"/>
    <w:rsid w:val="00E91482"/>
    <w:rsid w:val="00E92196"/>
    <w:rsid w:val="00E945BF"/>
    <w:rsid w:val="00E96302"/>
    <w:rsid w:val="00EA2C06"/>
    <w:rsid w:val="00EB6CF6"/>
    <w:rsid w:val="00EC083F"/>
    <w:rsid w:val="00EC3F84"/>
    <w:rsid w:val="00EC40A9"/>
    <w:rsid w:val="00ED292F"/>
    <w:rsid w:val="00ED2F45"/>
    <w:rsid w:val="00ED6551"/>
    <w:rsid w:val="00ED7435"/>
    <w:rsid w:val="00EE2E3E"/>
    <w:rsid w:val="00EE46DF"/>
    <w:rsid w:val="00EF17CD"/>
    <w:rsid w:val="00EF3B47"/>
    <w:rsid w:val="00EF5C70"/>
    <w:rsid w:val="00EF5F80"/>
    <w:rsid w:val="00EF6A6B"/>
    <w:rsid w:val="00F00D32"/>
    <w:rsid w:val="00F014AB"/>
    <w:rsid w:val="00F03503"/>
    <w:rsid w:val="00F058C7"/>
    <w:rsid w:val="00F05D29"/>
    <w:rsid w:val="00F05EC4"/>
    <w:rsid w:val="00F0757E"/>
    <w:rsid w:val="00F075FC"/>
    <w:rsid w:val="00F10AA3"/>
    <w:rsid w:val="00F111B4"/>
    <w:rsid w:val="00F114EB"/>
    <w:rsid w:val="00F134F5"/>
    <w:rsid w:val="00F15B22"/>
    <w:rsid w:val="00F165EA"/>
    <w:rsid w:val="00F217B8"/>
    <w:rsid w:val="00F22151"/>
    <w:rsid w:val="00F2494B"/>
    <w:rsid w:val="00F25FF3"/>
    <w:rsid w:val="00F267C8"/>
    <w:rsid w:val="00F30101"/>
    <w:rsid w:val="00F34A88"/>
    <w:rsid w:val="00F360B6"/>
    <w:rsid w:val="00F40665"/>
    <w:rsid w:val="00F40CA3"/>
    <w:rsid w:val="00F40FAF"/>
    <w:rsid w:val="00F42746"/>
    <w:rsid w:val="00F43DC7"/>
    <w:rsid w:val="00F47B85"/>
    <w:rsid w:val="00F517FF"/>
    <w:rsid w:val="00F526FB"/>
    <w:rsid w:val="00F527DA"/>
    <w:rsid w:val="00F52BD1"/>
    <w:rsid w:val="00F54155"/>
    <w:rsid w:val="00F54BDD"/>
    <w:rsid w:val="00F5632A"/>
    <w:rsid w:val="00F5645C"/>
    <w:rsid w:val="00F57E07"/>
    <w:rsid w:val="00F626B4"/>
    <w:rsid w:val="00F63FCF"/>
    <w:rsid w:val="00F66545"/>
    <w:rsid w:val="00F67471"/>
    <w:rsid w:val="00F75A14"/>
    <w:rsid w:val="00F76673"/>
    <w:rsid w:val="00F9364F"/>
    <w:rsid w:val="00F93FB9"/>
    <w:rsid w:val="00F97817"/>
    <w:rsid w:val="00FA37D9"/>
    <w:rsid w:val="00FA4B84"/>
    <w:rsid w:val="00FA772A"/>
    <w:rsid w:val="00FB4971"/>
    <w:rsid w:val="00FB58F2"/>
    <w:rsid w:val="00FB7107"/>
    <w:rsid w:val="00FC36EB"/>
    <w:rsid w:val="00FC5CF0"/>
    <w:rsid w:val="00FD0A1A"/>
    <w:rsid w:val="00FD61EE"/>
    <w:rsid w:val="00FE27DE"/>
    <w:rsid w:val="00FE6219"/>
    <w:rsid w:val="00FF0845"/>
    <w:rsid w:val="00FF2BB6"/>
    <w:rsid w:val="00FF2D4B"/>
    <w:rsid w:val="00FF4074"/>
    <w:rsid w:val="00FF6A21"/>
    <w:rsid w:val="00FF7116"/>
    <w:rsid w:val="021F45BF"/>
    <w:rsid w:val="0449E94B"/>
    <w:rsid w:val="057DA64B"/>
    <w:rsid w:val="0961CCBB"/>
    <w:rsid w:val="0AC47C6B"/>
    <w:rsid w:val="0C056482"/>
    <w:rsid w:val="0C6E5860"/>
    <w:rsid w:val="0CCCB82E"/>
    <w:rsid w:val="0D6BED1A"/>
    <w:rsid w:val="0F3C3265"/>
    <w:rsid w:val="1464D672"/>
    <w:rsid w:val="238C7E0A"/>
    <w:rsid w:val="24A2667D"/>
    <w:rsid w:val="24FC9C43"/>
    <w:rsid w:val="2D04FD15"/>
    <w:rsid w:val="2FC4AD8E"/>
    <w:rsid w:val="3166920D"/>
    <w:rsid w:val="340B6495"/>
    <w:rsid w:val="363F92D8"/>
    <w:rsid w:val="393EEE04"/>
    <w:rsid w:val="3C81727A"/>
    <w:rsid w:val="449FB9CB"/>
    <w:rsid w:val="4550BEB9"/>
    <w:rsid w:val="47031F52"/>
    <w:rsid w:val="49F1A4BC"/>
    <w:rsid w:val="4A27DD38"/>
    <w:rsid w:val="4AEE8DA5"/>
    <w:rsid w:val="4DEDBA07"/>
    <w:rsid w:val="4FB9FA80"/>
    <w:rsid w:val="53CC27F1"/>
    <w:rsid w:val="5D56D25E"/>
    <w:rsid w:val="5F6E867C"/>
    <w:rsid w:val="62197E4B"/>
    <w:rsid w:val="627795D3"/>
    <w:rsid w:val="69FE043D"/>
    <w:rsid w:val="6AD84360"/>
    <w:rsid w:val="7192F0CE"/>
    <w:rsid w:val="74027B65"/>
    <w:rsid w:val="7A2C7D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C91BC"/>
  <w15:docId w15:val="{51783A27-5D0E-4FAF-B640-2E60BB0E9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link w:val="VAFigureCaptionChar"/>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customStyle="1" w:styleId="EndNoteBibliographyTitle">
    <w:name w:val="EndNote Bibliography Title"/>
    <w:basedOn w:val="Normal"/>
    <w:link w:val="EndNoteBibliographyTitleChar"/>
    <w:rsid w:val="009D50DD"/>
    <w:pPr>
      <w:spacing w:after="0"/>
      <w:jc w:val="center"/>
    </w:pPr>
    <w:rPr>
      <w:rFonts w:cs="Times"/>
      <w:noProof/>
    </w:rPr>
  </w:style>
  <w:style w:type="character" w:customStyle="1" w:styleId="VAFigureCaptionChar">
    <w:name w:val="VA_Figure_Caption Char"/>
    <w:basedOn w:val="DefaultParagraphFont"/>
    <w:link w:val="VAFigureCaption"/>
    <w:rsid w:val="009D50DD"/>
    <w:rPr>
      <w:rFonts w:ascii="Times" w:hAnsi="Times"/>
      <w:sz w:val="24"/>
    </w:rPr>
  </w:style>
  <w:style w:type="character" w:customStyle="1" w:styleId="EndNoteBibliographyTitleChar">
    <w:name w:val="EndNote Bibliography Title Char"/>
    <w:basedOn w:val="VAFigureCaptionChar"/>
    <w:link w:val="EndNoteBibliographyTitle"/>
    <w:rsid w:val="009D50DD"/>
    <w:rPr>
      <w:rFonts w:ascii="Times" w:hAnsi="Times" w:cs="Times"/>
      <w:noProof/>
      <w:sz w:val="24"/>
    </w:rPr>
  </w:style>
  <w:style w:type="paragraph" w:customStyle="1" w:styleId="EndNoteBibliography">
    <w:name w:val="EndNote Bibliography"/>
    <w:basedOn w:val="Normal"/>
    <w:link w:val="EndNoteBibliographyChar"/>
    <w:rsid w:val="009D50DD"/>
    <w:pPr>
      <w:jc w:val="left"/>
    </w:pPr>
    <w:rPr>
      <w:rFonts w:cs="Times"/>
      <w:noProof/>
    </w:rPr>
  </w:style>
  <w:style w:type="character" w:customStyle="1" w:styleId="EndNoteBibliographyChar">
    <w:name w:val="EndNote Bibliography Char"/>
    <w:basedOn w:val="VAFigureCaptionChar"/>
    <w:link w:val="EndNoteBibliography"/>
    <w:rsid w:val="009D50DD"/>
    <w:rPr>
      <w:rFonts w:ascii="Times" w:hAnsi="Times" w:cs="Times"/>
      <w:noProof/>
      <w:sz w:val="24"/>
    </w:rPr>
  </w:style>
  <w:style w:type="paragraph" w:styleId="Caption">
    <w:name w:val="caption"/>
    <w:basedOn w:val="Normal"/>
    <w:next w:val="Normal"/>
    <w:unhideWhenUsed/>
    <w:qFormat/>
    <w:rsid w:val="006839E4"/>
    <w:rPr>
      <w:i/>
      <w:iCs/>
      <w:color w:val="1F497D" w:themeColor="text2"/>
      <w:sz w:val="18"/>
      <w:szCs w:val="18"/>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rPr>
      <w:rFonts w:ascii="Times" w:hAnsi="Times"/>
    </w:rPr>
  </w:style>
  <w:style w:type="character" w:styleId="CommentReference">
    <w:name w:val="annotation reference"/>
    <w:basedOn w:val="DefaultParagraphFont"/>
    <w:rPr>
      <w:sz w:val="16"/>
      <w:szCs w:val="16"/>
    </w:rPr>
  </w:style>
  <w:style w:type="paragraph" w:styleId="Revision">
    <w:name w:val="Revision"/>
    <w:hidden/>
    <w:uiPriority w:val="99"/>
    <w:semiHidden/>
    <w:rsid w:val="00A31884"/>
    <w:rPr>
      <w:rFonts w:ascii="Times" w:hAnsi="Times"/>
      <w:sz w:val="24"/>
    </w:rPr>
  </w:style>
  <w:style w:type="paragraph" w:styleId="CommentSubject">
    <w:name w:val="annotation subject"/>
    <w:basedOn w:val="CommentText"/>
    <w:next w:val="CommentText"/>
    <w:link w:val="CommentSubjectChar"/>
    <w:rsid w:val="00777E7D"/>
    <w:rPr>
      <w:b/>
      <w:bCs/>
    </w:rPr>
  </w:style>
  <w:style w:type="character" w:customStyle="1" w:styleId="CommentSubjectChar">
    <w:name w:val="Comment Subject Char"/>
    <w:basedOn w:val="CommentTextChar"/>
    <w:link w:val="CommentSubject"/>
    <w:rsid w:val="00777E7D"/>
    <w:rPr>
      <w:rFonts w:ascii="Times" w:hAnsi="Times"/>
      <w:b/>
      <w:bCs/>
    </w:rPr>
  </w:style>
  <w:style w:type="paragraph" w:styleId="Header">
    <w:name w:val="header"/>
    <w:basedOn w:val="Normal"/>
    <w:link w:val="HeaderChar"/>
    <w:rsid w:val="00262150"/>
    <w:pPr>
      <w:tabs>
        <w:tab w:val="center" w:pos="4680"/>
        <w:tab w:val="right" w:pos="9360"/>
      </w:tabs>
      <w:spacing w:after="0"/>
    </w:pPr>
  </w:style>
  <w:style w:type="character" w:customStyle="1" w:styleId="HeaderChar">
    <w:name w:val="Header Char"/>
    <w:basedOn w:val="DefaultParagraphFont"/>
    <w:link w:val="Header"/>
    <w:rsid w:val="00262150"/>
    <w:rPr>
      <w:rFonts w:ascii="Times" w:hAnsi="Times"/>
      <w:sz w:val="24"/>
    </w:rPr>
  </w:style>
  <w:style w:type="character" w:styleId="Mention">
    <w:name w:val="Mention"/>
    <w:basedOn w:val="DefaultParagraphFont"/>
    <w:uiPriority w:val="99"/>
    <w:unhideWhenUsed/>
    <w:rsid w:val="00576A0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sv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1y11\Downloads\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fae2c9b5-8f89-44d5-93a1-f809d7c6bb7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190DCCC97F0A4BA16087AF68457F96" ma:contentTypeVersion="18" ma:contentTypeDescription="Create a new document." ma:contentTypeScope="" ma:versionID="6e534a1556f0c891479faefa7aeac986">
  <xsd:schema xmlns:xsd="http://www.w3.org/2001/XMLSchema" xmlns:xs="http://www.w3.org/2001/XMLSchema" xmlns:p="http://schemas.microsoft.com/office/2006/metadata/properties" xmlns:ns3="6bc52e9f-4b13-492f-9c76-6ca23a436c80" xmlns:ns4="fae2c9b5-8f89-44d5-93a1-f809d7c6bb71" targetNamespace="http://schemas.microsoft.com/office/2006/metadata/properties" ma:root="true" ma:fieldsID="b358f5b33c43a029f27aa6cf917f8704" ns3:_="" ns4:_="">
    <xsd:import namespace="6bc52e9f-4b13-492f-9c76-6ca23a436c80"/>
    <xsd:import namespace="fae2c9b5-8f89-44d5-93a1-f809d7c6bb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LengthInSecond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c52e9f-4b13-492f-9c76-6ca23a436c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ae2c9b5-8f89-44d5-93a1-f809d7c6bb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A0E1E3-4C05-4F7C-BF91-E6A05DCE5178}">
  <ds:schemaRefs>
    <ds:schemaRef ds:uri="http://schemas.microsoft.com/office/2006/metadata/properties"/>
    <ds:schemaRef ds:uri="http://schemas.microsoft.com/office/infopath/2007/PartnerControls"/>
    <ds:schemaRef ds:uri="fae2c9b5-8f89-44d5-93a1-f809d7c6bb71"/>
  </ds:schemaRefs>
</ds:datastoreItem>
</file>

<file path=customXml/itemProps2.xml><?xml version="1.0" encoding="utf-8"?>
<ds:datastoreItem xmlns:ds="http://schemas.openxmlformats.org/officeDocument/2006/customXml" ds:itemID="{75C405AB-FD70-4E0A-90DE-C637C54A9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c52e9f-4b13-492f-9c76-6ca23a436c80"/>
    <ds:schemaRef ds:uri="fae2c9b5-8f89-44d5-93a1-f809d7c6b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C956A62-B41A-DD46-8806-31EE98195FC1}">
  <ds:schemaRefs>
    <ds:schemaRef ds:uri="http://schemas.openxmlformats.org/officeDocument/2006/bibliography"/>
  </ds:schemaRefs>
</ds:datastoreItem>
</file>

<file path=customXml/itemProps4.xml><?xml version="1.0" encoding="utf-8"?>
<ds:datastoreItem xmlns:ds="http://schemas.openxmlformats.org/officeDocument/2006/customXml" ds:itemID="{7B5FD60E-8C82-4718-8948-07100F96335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acstemplate_msw2010</Template>
  <TotalTime>137</TotalTime>
  <Pages>19</Pages>
  <Words>7406</Words>
  <Characters>42812</Characters>
  <Application>Microsoft Office Word</Application>
  <DocSecurity>0</DocSecurity>
  <Lines>611</Lines>
  <Paragraphs>128</Paragraphs>
  <ScaleCrop>false</ScaleCrop>
  <Company>ACS</Company>
  <LinksUpToDate>false</LinksUpToDate>
  <CharactersWithSpaces>50090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Dave Rowe</dc:creator>
  <cp:keywords/>
  <dc:description/>
  <cp:lastModifiedBy>Dave Rowe</cp:lastModifiedBy>
  <cp:revision>43</cp:revision>
  <cp:lastPrinted>2025-10-21T18:04:00Z</cp:lastPrinted>
  <dcterms:created xsi:type="dcterms:W3CDTF">2025-07-29T22:10:00Z</dcterms:created>
  <dcterms:modified xsi:type="dcterms:W3CDTF">2026-02-10T09:36:00Z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0x0101004D190DCCC97F0A4BA16087AF68457F96</vt:lpwstr>
  </property>
</Properties>
</file>